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6F768" w14:textId="78B1AFA2" w:rsidR="004929EC" w:rsidRDefault="007D4CAA" w:rsidP="004929EC">
      <w:pPr>
        <w:pStyle w:val="Titre3"/>
        <w:keepLines w:val="0"/>
        <w:tabs>
          <w:tab w:val="left" w:pos="709"/>
        </w:tabs>
        <w:spacing w:before="240" w:after="60" w:line="480" w:lineRule="auto"/>
        <w:jc w:val="both"/>
        <w:rPr>
          <w:rFonts w:asciiTheme="minorHAnsi" w:eastAsiaTheme="minorEastAsia" w:hAnsiTheme="minorHAnsi" w:cstheme="minorBidi"/>
          <w:lang w:val="en-US"/>
        </w:rPr>
      </w:pPr>
      <w:bookmarkStart w:id="0" w:name="_GoBack"/>
      <w:bookmarkEnd w:id="0"/>
      <w:r>
        <w:rPr>
          <w:rFonts w:asciiTheme="minorHAnsi" w:eastAsiaTheme="minorEastAsia" w:hAnsiTheme="minorHAnsi" w:cstheme="minorBidi"/>
          <w:lang w:val="en-US"/>
        </w:rPr>
        <w:t>Additional file</w:t>
      </w:r>
      <w:r w:rsidR="006E004B">
        <w:rPr>
          <w:rFonts w:asciiTheme="minorHAnsi" w:eastAsiaTheme="minorEastAsia" w:hAnsiTheme="minorHAnsi" w:cstheme="minorBidi"/>
          <w:lang w:val="en-US"/>
        </w:rPr>
        <w:t xml:space="preserve"> </w:t>
      </w:r>
      <w:r w:rsidR="00F03B45">
        <w:rPr>
          <w:rFonts w:asciiTheme="minorHAnsi" w:eastAsiaTheme="minorEastAsia" w:hAnsiTheme="minorHAnsi" w:cstheme="minorBidi"/>
          <w:lang w:val="en-US"/>
        </w:rPr>
        <w:t>2</w:t>
      </w:r>
      <w:r w:rsidR="004929EC">
        <w:rPr>
          <w:rFonts w:asciiTheme="minorHAnsi" w:eastAsiaTheme="minorEastAsia" w:hAnsiTheme="minorHAnsi" w:cstheme="minorBidi"/>
          <w:lang w:val="en-US"/>
        </w:rPr>
        <w:t>.</w:t>
      </w:r>
    </w:p>
    <w:p w14:paraId="7CA45BB8" w14:textId="3E3D3A74" w:rsidR="004760BD" w:rsidRPr="00801876" w:rsidRDefault="004760BD" w:rsidP="004760BD">
      <w:pPr>
        <w:spacing w:line="360" w:lineRule="auto"/>
        <w:rPr>
          <w:sz w:val="20"/>
          <w:szCs w:val="20"/>
          <w:lang w:val="en-US"/>
        </w:rPr>
      </w:pPr>
      <w:r w:rsidRPr="00801876">
        <w:rPr>
          <w:b/>
          <w:sz w:val="20"/>
          <w:szCs w:val="20"/>
          <w:lang w:val="en-US"/>
        </w:rPr>
        <w:t>Definition of composite primary endpoint</w:t>
      </w:r>
      <w:r w:rsidRPr="00801876">
        <w:rPr>
          <w:sz w:val="20"/>
          <w:szCs w:val="20"/>
          <w:lang w:val="en-US"/>
        </w:rPr>
        <w:t xml:space="preserve">: The primary endpoint will be met if one of the following </w:t>
      </w:r>
      <w:r w:rsidR="0020116D" w:rsidRPr="00801876">
        <w:rPr>
          <w:sz w:val="20"/>
          <w:szCs w:val="20"/>
          <w:lang w:val="en-US"/>
        </w:rPr>
        <w:t>complications</w:t>
      </w:r>
      <w:r w:rsidRPr="00801876">
        <w:rPr>
          <w:sz w:val="20"/>
          <w:szCs w:val="20"/>
          <w:lang w:val="en-US"/>
        </w:rPr>
        <w:t xml:space="preserve"> </w:t>
      </w:r>
      <w:r w:rsidR="0020116D" w:rsidRPr="00801876">
        <w:rPr>
          <w:sz w:val="20"/>
          <w:szCs w:val="20"/>
          <w:lang w:val="en-US"/>
        </w:rPr>
        <w:t>occur</w:t>
      </w:r>
      <w:r w:rsidR="0020116D">
        <w:rPr>
          <w:sz w:val="20"/>
          <w:szCs w:val="20"/>
          <w:lang w:val="en-US"/>
        </w:rPr>
        <w:t>s</w:t>
      </w:r>
      <w:r w:rsidRPr="00801876">
        <w:rPr>
          <w:sz w:val="20"/>
          <w:szCs w:val="20"/>
          <w:lang w:val="en-US"/>
        </w:rPr>
        <w:t xml:space="preserve"> within 28 days from surgery</w:t>
      </w:r>
      <w:r w:rsidR="0020116D">
        <w:rPr>
          <w:sz w:val="20"/>
          <w:szCs w:val="20"/>
          <w:lang w:val="en-US"/>
        </w:rPr>
        <w:t xml:space="preserve"> (except for occurrence of Acute kidney injury which will be evaluated during the first 7 days)</w:t>
      </w:r>
      <w:r w:rsidRPr="00801876">
        <w:rPr>
          <w:sz w:val="20"/>
          <w:szCs w:val="20"/>
          <w:lang w:val="en-US"/>
        </w:rPr>
        <w:t xml:space="preserve">.  </w:t>
      </w:r>
    </w:p>
    <w:p w14:paraId="485FA305" w14:textId="77777777" w:rsidR="004760BD" w:rsidRPr="0020116D" w:rsidRDefault="004760BD" w:rsidP="0020116D">
      <w:pPr>
        <w:pStyle w:val="Paragraphedeliste"/>
        <w:numPr>
          <w:ilvl w:val="0"/>
          <w:numId w:val="3"/>
        </w:numPr>
        <w:autoSpaceDE w:val="0"/>
        <w:autoSpaceDN w:val="0"/>
        <w:adjustRightInd w:val="0"/>
        <w:spacing w:line="480" w:lineRule="auto"/>
        <w:jc w:val="left"/>
        <w:rPr>
          <w:rFonts w:eastAsia="Times New Roman"/>
          <w:color w:val="auto"/>
          <w:sz w:val="20"/>
          <w:szCs w:val="20"/>
          <w:lang w:val="en-US" w:eastAsia="en-GB"/>
        </w:rPr>
      </w:pPr>
      <w:r w:rsidRPr="0020116D">
        <w:rPr>
          <w:rFonts w:eastAsia="Times New Roman"/>
          <w:color w:val="auto"/>
          <w:sz w:val="20"/>
          <w:szCs w:val="20"/>
          <w:lang w:val="en-US" w:eastAsia="en-GB"/>
        </w:rPr>
        <w:t>Death</w:t>
      </w:r>
    </w:p>
    <w:p w14:paraId="17FDD65A" w14:textId="2340AADE" w:rsidR="004760BD" w:rsidRPr="0020116D" w:rsidRDefault="004760BD" w:rsidP="0020116D">
      <w:pPr>
        <w:pStyle w:val="Paragraphedeliste"/>
        <w:numPr>
          <w:ilvl w:val="0"/>
          <w:numId w:val="3"/>
        </w:numPr>
        <w:autoSpaceDE w:val="0"/>
        <w:autoSpaceDN w:val="0"/>
        <w:adjustRightInd w:val="0"/>
        <w:spacing w:line="480" w:lineRule="auto"/>
        <w:jc w:val="left"/>
        <w:rPr>
          <w:rFonts w:eastAsia="Times New Roman"/>
          <w:color w:val="auto"/>
          <w:sz w:val="20"/>
          <w:szCs w:val="20"/>
          <w:lang w:val="en-US" w:eastAsia="en-GB"/>
        </w:rPr>
      </w:pPr>
      <w:r w:rsidRPr="0020116D">
        <w:rPr>
          <w:rFonts w:eastAsia="Times New Roman"/>
          <w:color w:val="auto"/>
          <w:sz w:val="20"/>
          <w:szCs w:val="20"/>
          <w:lang w:val="en-US" w:eastAsia="en-GB"/>
        </w:rPr>
        <w:t xml:space="preserve">Acute Myocardial </w:t>
      </w:r>
      <w:r w:rsidR="00964B72" w:rsidRPr="0020116D">
        <w:rPr>
          <w:rFonts w:eastAsia="Times New Roman"/>
          <w:color w:val="auto"/>
          <w:sz w:val="20"/>
          <w:szCs w:val="20"/>
          <w:lang w:val="en-US" w:eastAsia="en-GB"/>
        </w:rPr>
        <w:t>ischemia</w:t>
      </w:r>
    </w:p>
    <w:p w14:paraId="001504E1" w14:textId="1B7A80CA" w:rsidR="004760BD" w:rsidRPr="0020116D" w:rsidRDefault="00EF202B" w:rsidP="0020116D">
      <w:pPr>
        <w:pStyle w:val="Paragraphedeliste"/>
        <w:numPr>
          <w:ilvl w:val="0"/>
          <w:numId w:val="3"/>
        </w:numPr>
        <w:autoSpaceDE w:val="0"/>
        <w:autoSpaceDN w:val="0"/>
        <w:adjustRightInd w:val="0"/>
        <w:spacing w:line="480" w:lineRule="auto"/>
        <w:jc w:val="left"/>
        <w:rPr>
          <w:rFonts w:eastAsia="Times New Roman"/>
          <w:color w:val="auto"/>
          <w:sz w:val="20"/>
          <w:szCs w:val="20"/>
          <w:lang w:val="en-US" w:eastAsia="en-GB"/>
        </w:rPr>
      </w:pPr>
      <w:r w:rsidRPr="0020116D">
        <w:rPr>
          <w:rFonts w:eastAsia="Times New Roman"/>
          <w:color w:val="auto"/>
          <w:sz w:val="20"/>
          <w:szCs w:val="20"/>
          <w:lang w:val="en-US" w:eastAsia="en-GB"/>
        </w:rPr>
        <w:t>Arterial or venous thrombosis</w:t>
      </w:r>
    </w:p>
    <w:p w14:paraId="4168D879" w14:textId="23BBA730" w:rsidR="004760BD" w:rsidRPr="0020116D" w:rsidRDefault="00EF202B" w:rsidP="0020116D">
      <w:pPr>
        <w:pStyle w:val="Paragraphedeliste"/>
        <w:numPr>
          <w:ilvl w:val="0"/>
          <w:numId w:val="3"/>
        </w:numPr>
        <w:autoSpaceDE w:val="0"/>
        <w:autoSpaceDN w:val="0"/>
        <w:adjustRightInd w:val="0"/>
        <w:spacing w:line="480" w:lineRule="auto"/>
        <w:jc w:val="left"/>
        <w:rPr>
          <w:rFonts w:eastAsia="Times New Roman"/>
          <w:color w:val="auto"/>
          <w:sz w:val="20"/>
          <w:szCs w:val="20"/>
          <w:lang w:val="en-US" w:eastAsia="en-GB"/>
        </w:rPr>
      </w:pPr>
      <w:r w:rsidRPr="0020116D">
        <w:rPr>
          <w:rFonts w:eastAsia="Times New Roman"/>
          <w:color w:val="auto"/>
          <w:sz w:val="20"/>
          <w:szCs w:val="20"/>
          <w:lang w:val="en-US" w:eastAsia="en-GB"/>
        </w:rPr>
        <w:t>Stroke</w:t>
      </w:r>
    </w:p>
    <w:p w14:paraId="6E455E4A" w14:textId="77777777" w:rsidR="004760BD" w:rsidRPr="0020116D" w:rsidRDefault="004760BD" w:rsidP="0020116D">
      <w:pPr>
        <w:pStyle w:val="Paragraphedeliste"/>
        <w:numPr>
          <w:ilvl w:val="0"/>
          <w:numId w:val="3"/>
        </w:numPr>
        <w:autoSpaceDE w:val="0"/>
        <w:autoSpaceDN w:val="0"/>
        <w:adjustRightInd w:val="0"/>
        <w:spacing w:line="480" w:lineRule="auto"/>
        <w:jc w:val="left"/>
        <w:rPr>
          <w:rFonts w:eastAsia="Times New Roman"/>
          <w:color w:val="auto"/>
          <w:sz w:val="20"/>
          <w:szCs w:val="20"/>
          <w:lang w:val="en-US" w:eastAsia="en-GB"/>
        </w:rPr>
      </w:pPr>
      <w:r w:rsidRPr="0020116D">
        <w:rPr>
          <w:rFonts w:eastAsia="Times New Roman"/>
          <w:color w:val="auto"/>
          <w:sz w:val="20"/>
          <w:szCs w:val="20"/>
          <w:lang w:val="en-US" w:eastAsia="en-GB"/>
        </w:rPr>
        <w:t>Acute pulmonary oedema</w:t>
      </w:r>
    </w:p>
    <w:p w14:paraId="763F3D88" w14:textId="77777777" w:rsidR="004760BD" w:rsidRPr="0020116D" w:rsidRDefault="004760BD" w:rsidP="0020116D">
      <w:pPr>
        <w:pStyle w:val="Paragraphedeliste"/>
        <w:numPr>
          <w:ilvl w:val="0"/>
          <w:numId w:val="3"/>
        </w:numPr>
        <w:autoSpaceDE w:val="0"/>
        <w:autoSpaceDN w:val="0"/>
        <w:adjustRightInd w:val="0"/>
        <w:spacing w:line="480" w:lineRule="auto"/>
        <w:jc w:val="left"/>
        <w:rPr>
          <w:rFonts w:eastAsia="Times New Roman"/>
          <w:color w:val="auto"/>
          <w:sz w:val="20"/>
          <w:szCs w:val="20"/>
          <w:lang w:val="en-US" w:eastAsia="en-GB"/>
        </w:rPr>
      </w:pPr>
      <w:r w:rsidRPr="0020116D">
        <w:rPr>
          <w:rFonts w:eastAsia="Times New Roman"/>
          <w:color w:val="auto"/>
          <w:sz w:val="20"/>
          <w:szCs w:val="20"/>
          <w:lang w:val="en-US" w:eastAsia="en-GB"/>
        </w:rPr>
        <w:t>Post-operative cardiogenic shock (requiring epinephrine or dobutamine infusion)</w:t>
      </w:r>
    </w:p>
    <w:p w14:paraId="732885F6" w14:textId="77777777" w:rsidR="004760BD" w:rsidRPr="0020116D" w:rsidRDefault="004760BD" w:rsidP="0020116D">
      <w:pPr>
        <w:pStyle w:val="Paragraphedeliste"/>
        <w:numPr>
          <w:ilvl w:val="0"/>
          <w:numId w:val="3"/>
        </w:numPr>
        <w:autoSpaceDE w:val="0"/>
        <w:autoSpaceDN w:val="0"/>
        <w:adjustRightInd w:val="0"/>
        <w:spacing w:line="480" w:lineRule="auto"/>
        <w:jc w:val="left"/>
        <w:rPr>
          <w:rFonts w:eastAsia="Times New Roman"/>
          <w:color w:val="auto"/>
          <w:sz w:val="20"/>
          <w:szCs w:val="20"/>
          <w:lang w:val="en-US" w:eastAsia="en-GB"/>
        </w:rPr>
      </w:pPr>
      <w:r w:rsidRPr="0020116D">
        <w:rPr>
          <w:rFonts w:eastAsia="Times New Roman"/>
          <w:color w:val="auto"/>
          <w:sz w:val="20"/>
          <w:szCs w:val="20"/>
          <w:lang w:val="en-US" w:eastAsia="en-GB"/>
        </w:rPr>
        <w:t>Acute severe hypertension crisis (Defined as mean arterial pressure &gt;130 mmHg)</w:t>
      </w:r>
    </w:p>
    <w:p w14:paraId="229E0D2C" w14:textId="728CB3B4" w:rsidR="00EF202B" w:rsidRPr="0020116D" w:rsidRDefault="004760BD" w:rsidP="0020116D">
      <w:pPr>
        <w:pStyle w:val="Paragraphedeliste"/>
        <w:numPr>
          <w:ilvl w:val="0"/>
          <w:numId w:val="3"/>
        </w:numPr>
        <w:autoSpaceDE w:val="0"/>
        <w:autoSpaceDN w:val="0"/>
        <w:adjustRightInd w:val="0"/>
        <w:spacing w:line="480" w:lineRule="auto"/>
        <w:jc w:val="left"/>
        <w:rPr>
          <w:rFonts w:eastAsia="Times New Roman"/>
          <w:color w:val="auto"/>
          <w:sz w:val="20"/>
          <w:szCs w:val="20"/>
          <w:lang w:val="en-US" w:eastAsia="en-GB"/>
        </w:rPr>
      </w:pPr>
      <w:r w:rsidRPr="0020116D">
        <w:rPr>
          <w:rFonts w:eastAsia="Times New Roman"/>
          <w:color w:val="auto"/>
          <w:sz w:val="20"/>
          <w:szCs w:val="20"/>
          <w:lang w:val="en-US" w:eastAsia="en-GB"/>
        </w:rPr>
        <w:t>Cardiac arrhythmia (de novo atrial fibrillation, atrial flutter, ventricular tachycardia, ventricular fibrillation)</w:t>
      </w:r>
      <w:r w:rsidR="00E95868">
        <w:rPr>
          <w:rFonts w:eastAsia="Times New Roman"/>
          <w:color w:val="auto"/>
          <w:sz w:val="20"/>
          <w:szCs w:val="20"/>
          <w:lang w:val="en-US" w:eastAsia="en-GB"/>
        </w:rPr>
        <w:t xml:space="preserve"> requiring treatment</w:t>
      </w:r>
    </w:p>
    <w:p w14:paraId="7057C814" w14:textId="6B5337B3" w:rsidR="004760BD" w:rsidRPr="0020116D" w:rsidRDefault="004760BD" w:rsidP="0020116D">
      <w:pPr>
        <w:pStyle w:val="Paragraphedeliste"/>
        <w:numPr>
          <w:ilvl w:val="0"/>
          <w:numId w:val="3"/>
        </w:numPr>
        <w:autoSpaceDE w:val="0"/>
        <w:autoSpaceDN w:val="0"/>
        <w:adjustRightInd w:val="0"/>
        <w:spacing w:line="480" w:lineRule="auto"/>
        <w:jc w:val="left"/>
        <w:rPr>
          <w:rFonts w:eastAsia="Times New Roman"/>
          <w:color w:val="auto"/>
          <w:sz w:val="20"/>
          <w:szCs w:val="20"/>
          <w:lang w:val="en-US" w:eastAsia="en-GB"/>
        </w:rPr>
      </w:pPr>
      <w:r w:rsidRPr="0020116D">
        <w:rPr>
          <w:rFonts w:eastAsia="Times New Roman"/>
          <w:color w:val="auto"/>
          <w:sz w:val="20"/>
          <w:szCs w:val="20"/>
          <w:lang w:val="en-US" w:eastAsia="en-GB"/>
        </w:rPr>
        <w:t>P</w:t>
      </w:r>
      <w:r w:rsidR="00224048" w:rsidRPr="0020116D">
        <w:rPr>
          <w:rFonts w:eastAsia="Times New Roman"/>
          <w:color w:val="auto"/>
          <w:sz w:val="20"/>
          <w:szCs w:val="20"/>
          <w:lang w:val="en-US" w:eastAsia="en-GB"/>
        </w:rPr>
        <w:t xml:space="preserve">ostoperative </w:t>
      </w:r>
      <w:r w:rsidR="00680A7B" w:rsidRPr="0020116D">
        <w:rPr>
          <w:rFonts w:eastAsia="Times New Roman"/>
          <w:color w:val="auto"/>
          <w:sz w:val="20"/>
          <w:szCs w:val="20"/>
          <w:lang w:val="en-US" w:eastAsia="en-GB"/>
        </w:rPr>
        <w:t xml:space="preserve">episode of </w:t>
      </w:r>
      <w:r w:rsidR="00E95868">
        <w:rPr>
          <w:rFonts w:eastAsia="Times New Roman"/>
          <w:color w:val="auto"/>
          <w:sz w:val="20"/>
          <w:szCs w:val="20"/>
          <w:lang w:val="en-US" w:eastAsia="en-GB"/>
        </w:rPr>
        <w:t>sepsis</w:t>
      </w:r>
      <w:r w:rsidR="00EF202B" w:rsidRPr="0020116D">
        <w:rPr>
          <w:rFonts w:eastAsia="Times New Roman"/>
          <w:color w:val="auto"/>
          <w:sz w:val="20"/>
          <w:szCs w:val="20"/>
          <w:lang w:val="en-US" w:eastAsia="en-GB"/>
        </w:rPr>
        <w:t xml:space="preserve"> (</w:t>
      </w:r>
      <w:r w:rsidR="00E95868">
        <w:rPr>
          <w:rFonts w:eastAsia="Times New Roman"/>
          <w:color w:val="auto"/>
          <w:sz w:val="20"/>
          <w:szCs w:val="20"/>
          <w:lang w:val="en-US" w:eastAsia="en-GB"/>
        </w:rPr>
        <w:t>based on the sepsis 3 definition).</w:t>
      </w:r>
    </w:p>
    <w:p w14:paraId="72A3ADE9" w14:textId="77777777" w:rsidR="004760BD" w:rsidRPr="0020116D" w:rsidRDefault="004760BD" w:rsidP="0020116D">
      <w:pPr>
        <w:pStyle w:val="Paragraphedeliste"/>
        <w:numPr>
          <w:ilvl w:val="0"/>
          <w:numId w:val="3"/>
        </w:numPr>
        <w:autoSpaceDE w:val="0"/>
        <w:autoSpaceDN w:val="0"/>
        <w:adjustRightInd w:val="0"/>
        <w:spacing w:line="480" w:lineRule="auto"/>
        <w:jc w:val="left"/>
        <w:rPr>
          <w:rFonts w:eastAsia="Times New Roman"/>
          <w:color w:val="auto"/>
          <w:sz w:val="20"/>
          <w:szCs w:val="20"/>
          <w:lang w:val="en-US" w:eastAsia="en-GB"/>
        </w:rPr>
      </w:pPr>
      <w:r w:rsidRPr="0020116D">
        <w:rPr>
          <w:rFonts w:eastAsia="Times New Roman"/>
          <w:color w:val="auto"/>
          <w:sz w:val="20"/>
          <w:szCs w:val="20"/>
          <w:lang w:val="en-US" w:eastAsia="en-GB"/>
        </w:rPr>
        <w:t>Postoperative respiratory complication: defined by the need for intubation and/or noninvasive ventilation for respiratory failure,</w:t>
      </w:r>
    </w:p>
    <w:p w14:paraId="0C53AD39" w14:textId="77777777" w:rsidR="004760BD" w:rsidRPr="0020116D" w:rsidRDefault="004760BD" w:rsidP="0020116D">
      <w:pPr>
        <w:pStyle w:val="Paragraphedeliste"/>
        <w:numPr>
          <w:ilvl w:val="0"/>
          <w:numId w:val="3"/>
        </w:numPr>
        <w:autoSpaceDE w:val="0"/>
        <w:autoSpaceDN w:val="0"/>
        <w:adjustRightInd w:val="0"/>
        <w:spacing w:line="480" w:lineRule="auto"/>
        <w:jc w:val="left"/>
        <w:rPr>
          <w:rFonts w:eastAsia="Times New Roman"/>
          <w:color w:val="auto"/>
          <w:sz w:val="20"/>
          <w:szCs w:val="20"/>
          <w:lang w:val="en-US" w:eastAsia="en-GB"/>
        </w:rPr>
      </w:pPr>
      <w:r w:rsidRPr="0020116D">
        <w:rPr>
          <w:rFonts w:eastAsia="Times New Roman"/>
          <w:color w:val="auto"/>
          <w:sz w:val="20"/>
          <w:szCs w:val="20"/>
          <w:lang w:val="en-US" w:eastAsia="en-GB"/>
        </w:rPr>
        <w:t>Need for unplanned intensive care unit admission or readmission</w:t>
      </w:r>
    </w:p>
    <w:p w14:paraId="012914A4" w14:textId="19FA1937" w:rsidR="004760BD" w:rsidRPr="0020116D" w:rsidRDefault="004760BD" w:rsidP="0020116D">
      <w:pPr>
        <w:pStyle w:val="Paragraphedeliste"/>
        <w:numPr>
          <w:ilvl w:val="0"/>
          <w:numId w:val="3"/>
        </w:numPr>
        <w:autoSpaceDE w:val="0"/>
        <w:autoSpaceDN w:val="0"/>
        <w:adjustRightInd w:val="0"/>
        <w:spacing w:line="480" w:lineRule="auto"/>
        <w:jc w:val="left"/>
        <w:rPr>
          <w:rFonts w:eastAsia="Times New Roman"/>
          <w:color w:val="auto"/>
          <w:sz w:val="20"/>
          <w:szCs w:val="20"/>
          <w:lang w:val="en-US" w:eastAsia="en-GB"/>
        </w:rPr>
      </w:pPr>
      <w:r w:rsidRPr="0020116D">
        <w:rPr>
          <w:rFonts w:eastAsia="Times New Roman"/>
          <w:color w:val="auto"/>
          <w:sz w:val="20"/>
          <w:szCs w:val="20"/>
          <w:lang w:val="en-US" w:eastAsia="en-GB"/>
        </w:rPr>
        <w:t xml:space="preserve">Acute kidney injury: KDIGO criteria and </w:t>
      </w:r>
      <w:r w:rsidR="00591422" w:rsidRPr="0020116D">
        <w:rPr>
          <w:rFonts w:eastAsia="Times New Roman"/>
          <w:color w:val="auto"/>
          <w:sz w:val="20"/>
          <w:szCs w:val="20"/>
          <w:lang w:val="en-US" w:eastAsia="en-GB"/>
        </w:rPr>
        <w:t>renal replacement ther</w:t>
      </w:r>
      <w:r w:rsidRPr="0020116D">
        <w:rPr>
          <w:rFonts w:eastAsia="Times New Roman"/>
          <w:color w:val="auto"/>
          <w:sz w:val="20"/>
          <w:szCs w:val="20"/>
          <w:lang w:val="en-US" w:eastAsia="en-GB"/>
        </w:rPr>
        <w:t>apy. Baseline serum creatinine is obtained from the pre-operative blood sample.</w:t>
      </w:r>
    </w:p>
    <w:p w14:paraId="20097C25" w14:textId="77777777" w:rsidR="004760BD" w:rsidRPr="0020116D" w:rsidRDefault="004760BD" w:rsidP="0020116D">
      <w:pPr>
        <w:pStyle w:val="Paragraphedeliste"/>
        <w:numPr>
          <w:ilvl w:val="0"/>
          <w:numId w:val="3"/>
        </w:numPr>
        <w:autoSpaceDE w:val="0"/>
        <w:autoSpaceDN w:val="0"/>
        <w:adjustRightInd w:val="0"/>
        <w:spacing w:line="480" w:lineRule="auto"/>
        <w:jc w:val="left"/>
        <w:rPr>
          <w:rFonts w:eastAsia="Times New Roman"/>
          <w:color w:val="auto"/>
          <w:sz w:val="20"/>
          <w:szCs w:val="20"/>
          <w:lang w:val="en-US" w:eastAsia="en-GB"/>
        </w:rPr>
      </w:pPr>
      <w:r w:rsidRPr="0020116D">
        <w:rPr>
          <w:rFonts w:eastAsia="Times New Roman"/>
          <w:color w:val="auto"/>
          <w:sz w:val="20"/>
          <w:szCs w:val="20"/>
          <w:lang w:val="en-US" w:eastAsia="en-GB"/>
        </w:rPr>
        <w:t>Surgical complications: need for reoperation for any reason and radiologic interventions for abscess drainage.</w:t>
      </w:r>
    </w:p>
    <w:p w14:paraId="26EC637F" w14:textId="77777777" w:rsidR="004760BD" w:rsidRPr="0020116D" w:rsidRDefault="004760BD" w:rsidP="0020116D">
      <w:pPr>
        <w:pStyle w:val="Paragraphedeliste"/>
        <w:numPr>
          <w:ilvl w:val="0"/>
          <w:numId w:val="3"/>
        </w:numPr>
        <w:autoSpaceDE w:val="0"/>
        <w:autoSpaceDN w:val="0"/>
        <w:adjustRightInd w:val="0"/>
        <w:spacing w:line="480" w:lineRule="auto"/>
        <w:jc w:val="left"/>
        <w:rPr>
          <w:rFonts w:eastAsia="Times New Roman"/>
          <w:color w:val="auto"/>
          <w:sz w:val="20"/>
          <w:szCs w:val="20"/>
          <w:lang w:val="en-US" w:eastAsia="en-GB"/>
        </w:rPr>
      </w:pPr>
      <w:r w:rsidRPr="0020116D">
        <w:rPr>
          <w:rFonts w:eastAsia="Times New Roman"/>
          <w:color w:val="auto"/>
          <w:sz w:val="20"/>
          <w:szCs w:val="20"/>
          <w:lang w:val="en-US" w:eastAsia="en-GB"/>
        </w:rPr>
        <w:t>Severe Hyperkalemia: serum potassium level &gt;5.5 mmol/L and requiring therapeutic intervention (insulin/glucose infusion and/or sodium bicarbonate infusion and/or intravenous B2 agonists and/or intravenous calcium gluconate and/or renal replacement therapy and/or ventricular tachycardia or ventricular fibrillation).</w:t>
      </w:r>
    </w:p>
    <w:p w14:paraId="6840A61B" w14:textId="77777777" w:rsidR="00030466" w:rsidRPr="0020116D" w:rsidRDefault="00030466" w:rsidP="0020116D">
      <w:pPr>
        <w:pStyle w:val="Paragraphedeliste"/>
        <w:autoSpaceDE w:val="0"/>
        <w:autoSpaceDN w:val="0"/>
        <w:adjustRightInd w:val="0"/>
        <w:spacing w:line="480" w:lineRule="auto"/>
        <w:jc w:val="left"/>
        <w:rPr>
          <w:rFonts w:eastAsia="Times New Roman"/>
          <w:color w:val="auto"/>
          <w:sz w:val="20"/>
          <w:szCs w:val="20"/>
          <w:lang w:val="en-US" w:eastAsia="en-GB"/>
        </w:rPr>
      </w:pPr>
    </w:p>
    <w:p w14:paraId="55B1CC20" w14:textId="5E773418" w:rsidR="004760BD" w:rsidRPr="00801876" w:rsidRDefault="00224048" w:rsidP="00224048">
      <w:pPr>
        <w:pStyle w:val="Titre3"/>
        <w:keepLines w:val="0"/>
        <w:tabs>
          <w:tab w:val="left" w:pos="709"/>
        </w:tabs>
        <w:spacing w:before="240" w:after="60" w:line="360" w:lineRule="auto"/>
        <w:jc w:val="both"/>
        <w:rPr>
          <w:rFonts w:eastAsia="Times New Roman"/>
          <w:iCs/>
          <w:color w:val="auto"/>
          <w:sz w:val="20"/>
          <w:szCs w:val="20"/>
          <w:lang w:val="en-GB" w:eastAsia="en-GB"/>
        </w:rPr>
      </w:pPr>
      <w:bookmarkStart w:id="1" w:name="h.4i7ojhp" w:colFirst="0" w:colLast="0"/>
      <w:bookmarkStart w:id="2" w:name="_Toc496273118"/>
      <w:bookmarkEnd w:id="1"/>
      <w:r w:rsidRPr="00801876">
        <w:rPr>
          <w:color w:val="auto"/>
          <w:sz w:val="20"/>
          <w:szCs w:val="20"/>
          <w:lang w:val="en-US"/>
        </w:rPr>
        <w:t xml:space="preserve">Definition of </w:t>
      </w:r>
      <w:r w:rsidR="004760BD" w:rsidRPr="00801876">
        <w:rPr>
          <w:rFonts w:eastAsia="Times New Roman"/>
          <w:iCs/>
          <w:color w:val="auto"/>
          <w:sz w:val="20"/>
          <w:szCs w:val="20"/>
          <w:lang w:val="en-GB" w:eastAsia="en-GB"/>
        </w:rPr>
        <w:t xml:space="preserve">Secondary </w:t>
      </w:r>
      <w:r w:rsidR="004760BD">
        <w:rPr>
          <w:rFonts w:eastAsia="Times New Roman"/>
          <w:iCs/>
          <w:color w:val="auto"/>
          <w:sz w:val="20"/>
          <w:szCs w:val="20"/>
          <w:lang w:val="en-GB" w:eastAsia="en-GB"/>
        </w:rPr>
        <w:t>endpoints</w:t>
      </w:r>
      <w:bookmarkEnd w:id="2"/>
    </w:p>
    <w:p w14:paraId="20F0C6AC" w14:textId="589B0CEC" w:rsidR="004760BD" w:rsidRPr="002318CA" w:rsidRDefault="004760BD" w:rsidP="004760BD">
      <w:pPr>
        <w:pStyle w:val="Paragraphedeliste"/>
        <w:numPr>
          <w:ilvl w:val="0"/>
          <w:numId w:val="27"/>
        </w:numPr>
        <w:spacing w:line="360" w:lineRule="auto"/>
        <w:ind w:left="714" w:hanging="357"/>
        <w:rPr>
          <w:rFonts w:eastAsia="Times New Roman"/>
          <w:color w:val="auto"/>
          <w:sz w:val="20"/>
          <w:szCs w:val="20"/>
          <w:lang w:val="en-US" w:eastAsia="en-GB"/>
        </w:rPr>
      </w:pPr>
      <w:r w:rsidRPr="002318CA">
        <w:rPr>
          <w:rFonts w:eastAsia="Times New Roman"/>
          <w:color w:val="auto"/>
          <w:sz w:val="20"/>
          <w:szCs w:val="20"/>
          <w:lang w:val="en-US" w:eastAsia="en-GB"/>
        </w:rPr>
        <w:t xml:space="preserve">Episodes of hypotension </w:t>
      </w:r>
      <w:r w:rsidR="008847A5" w:rsidRPr="002318CA">
        <w:rPr>
          <w:rFonts w:eastAsia="Times New Roman"/>
          <w:color w:val="auto"/>
          <w:sz w:val="20"/>
          <w:szCs w:val="20"/>
          <w:lang w:val="en-US" w:eastAsia="en-GB"/>
        </w:rPr>
        <w:t>(mean arterial pressure &lt;</w:t>
      </w:r>
      <w:r w:rsidR="008847A5" w:rsidRPr="007D2B1E">
        <w:rPr>
          <w:rFonts w:eastAsia="Times New Roman"/>
          <w:color w:val="auto"/>
          <w:sz w:val="20"/>
          <w:szCs w:val="20"/>
          <w:lang w:val="en-US" w:eastAsia="en-GB"/>
        </w:rPr>
        <w:t xml:space="preserve"> 60 mmHg and/or</w:t>
      </w:r>
      <w:r w:rsidR="008847A5" w:rsidRPr="002318CA">
        <w:rPr>
          <w:rFonts w:eastAsia="Times New Roman"/>
          <w:color w:val="auto"/>
          <w:sz w:val="20"/>
          <w:szCs w:val="20"/>
          <w:lang w:val="en-US" w:eastAsia="en-GB"/>
        </w:rPr>
        <w:t xml:space="preserve"> </w:t>
      </w:r>
      <w:r w:rsidRPr="002318CA">
        <w:rPr>
          <w:rFonts w:eastAsia="Times New Roman"/>
          <w:color w:val="auto"/>
          <w:sz w:val="20"/>
          <w:szCs w:val="20"/>
          <w:lang w:val="en-US" w:eastAsia="en-GB"/>
        </w:rPr>
        <w:t>requiring vasopressors</w:t>
      </w:r>
      <w:r w:rsidR="008847A5" w:rsidRPr="002318CA">
        <w:rPr>
          <w:rFonts w:eastAsia="Times New Roman"/>
          <w:color w:val="auto"/>
          <w:sz w:val="20"/>
          <w:szCs w:val="20"/>
          <w:lang w:val="en-US" w:eastAsia="en-GB"/>
        </w:rPr>
        <w:t>)</w:t>
      </w:r>
      <w:r w:rsidRPr="002318CA">
        <w:rPr>
          <w:rFonts w:eastAsia="Times New Roman"/>
          <w:color w:val="auto"/>
          <w:sz w:val="20"/>
          <w:szCs w:val="20"/>
          <w:lang w:val="en-US" w:eastAsia="en-GB"/>
        </w:rPr>
        <w:t xml:space="preserve"> admi</w:t>
      </w:r>
      <w:r w:rsidR="00964B72" w:rsidRPr="002318CA">
        <w:rPr>
          <w:rFonts w:eastAsia="Times New Roman"/>
          <w:color w:val="auto"/>
          <w:sz w:val="20"/>
          <w:szCs w:val="20"/>
          <w:lang w:val="en-US" w:eastAsia="en-GB"/>
        </w:rPr>
        <w:t>nistration during anesthesia or</w:t>
      </w:r>
      <w:r w:rsidRPr="002318CA">
        <w:rPr>
          <w:rFonts w:eastAsia="Times New Roman"/>
          <w:color w:val="auto"/>
          <w:sz w:val="20"/>
          <w:szCs w:val="20"/>
          <w:lang w:val="en-US" w:eastAsia="en-GB"/>
        </w:rPr>
        <w:t xml:space="preserve"> surgery</w:t>
      </w:r>
    </w:p>
    <w:p w14:paraId="7775F5F5" w14:textId="77777777" w:rsidR="004760BD" w:rsidRPr="002318CA" w:rsidRDefault="004760BD" w:rsidP="004760BD">
      <w:pPr>
        <w:pStyle w:val="Paragraphedeliste"/>
        <w:numPr>
          <w:ilvl w:val="0"/>
          <w:numId w:val="27"/>
        </w:numPr>
        <w:spacing w:line="360" w:lineRule="auto"/>
        <w:ind w:left="714" w:hanging="357"/>
        <w:rPr>
          <w:rFonts w:eastAsia="Times New Roman"/>
          <w:color w:val="auto"/>
          <w:sz w:val="20"/>
          <w:szCs w:val="20"/>
          <w:lang w:val="en-US" w:eastAsia="en-GB"/>
        </w:rPr>
      </w:pPr>
      <w:r w:rsidRPr="002318CA">
        <w:rPr>
          <w:rFonts w:eastAsia="Times New Roman"/>
          <w:color w:val="auto"/>
          <w:sz w:val="20"/>
          <w:szCs w:val="20"/>
          <w:lang w:val="en-US" w:eastAsia="en-GB"/>
        </w:rPr>
        <w:t>Maximum SOFA score from postoperative day 1 to day 7 in patients admitted to ICU</w:t>
      </w:r>
    </w:p>
    <w:p w14:paraId="0369C21A" w14:textId="77777777" w:rsidR="004760BD" w:rsidRPr="002318CA" w:rsidRDefault="004760BD" w:rsidP="004760BD">
      <w:pPr>
        <w:pStyle w:val="Paragraphedeliste"/>
        <w:numPr>
          <w:ilvl w:val="0"/>
          <w:numId w:val="27"/>
        </w:numPr>
        <w:spacing w:line="360" w:lineRule="auto"/>
        <w:ind w:left="714" w:hanging="357"/>
        <w:rPr>
          <w:rFonts w:eastAsia="Times New Roman"/>
          <w:color w:val="auto"/>
          <w:sz w:val="20"/>
          <w:szCs w:val="20"/>
          <w:lang w:val="en-US" w:eastAsia="en-GB"/>
        </w:rPr>
      </w:pPr>
      <w:r w:rsidRPr="002318CA">
        <w:rPr>
          <w:rFonts w:eastAsia="Times New Roman"/>
          <w:color w:val="auto"/>
          <w:sz w:val="20"/>
          <w:szCs w:val="20"/>
          <w:lang w:val="en-US" w:eastAsia="en-GB"/>
        </w:rPr>
        <w:lastRenderedPageBreak/>
        <w:t>Duration of hospital stay (patients who will be outside the hospital but in other types of health care facilities at day 28 will be considered to have been discharged home)</w:t>
      </w:r>
    </w:p>
    <w:p w14:paraId="0B4809EF" w14:textId="77777777" w:rsidR="004760BD" w:rsidRPr="002318CA" w:rsidRDefault="004760BD" w:rsidP="004760BD">
      <w:pPr>
        <w:pStyle w:val="Paragraphedeliste"/>
        <w:numPr>
          <w:ilvl w:val="0"/>
          <w:numId w:val="27"/>
        </w:numPr>
        <w:spacing w:line="360" w:lineRule="auto"/>
        <w:ind w:left="714" w:hanging="357"/>
        <w:rPr>
          <w:rFonts w:eastAsia="Times New Roman"/>
          <w:color w:val="auto"/>
          <w:sz w:val="20"/>
          <w:szCs w:val="20"/>
          <w:lang w:val="en-US" w:eastAsia="en-GB"/>
        </w:rPr>
      </w:pPr>
      <w:r w:rsidRPr="002318CA">
        <w:rPr>
          <w:rFonts w:eastAsia="Times New Roman"/>
          <w:color w:val="auto"/>
          <w:sz w:val="20"/>
          <w:szCs w:val="20"/>
          <w:lang w:val="en-US" w:eastAsia="en-GB"/>
        </w:rPr>
        <w:t>Hospital free-days (censored at 28 days following surgery)</w:t>
      </w:r>
    </w:p>
    <w:p w14:paraId="65B1C8EC" w14:textId="77777777" w:rsidR="004760BD" w:rsidRPr="002318CA" w:rsidRDefault="004760BD" w:rsidP="004760BD">
      <w:pPr>
        <w:pStyle w:val="Paragraphedeliste"/>
        <w:numPr>
          <w:ilvl w:val="0"/>
          <w:numId w:val="27"/>
        </w:numPr>
        <w:spacing w:line="360" w:lineRule="auto"/>
        <w:ind w:left="714" w:hanging="357"/>
        <w:rPr>
          <w:rFonts w:eastAsia="Times New Roman"/>
          <w:color w:val="auto"/>
          <w:sz w:val="20"/>
          <w:szCs w:val="20"/>
          <w:lang w:val="en-US" w:eastAsia="en-GB"/>
        </w:rPr>
      </w:pPr>
      <w:r w:rsidRPr="002318CA">
        <w:rPr>
          <w:rFonts w:eastAsia="Times New Roman"/>
          <w:color w:val="auto"/>
          <w:sz w:val="20"/>
          <w:szCs w:val="20"/>
          <w:lang w:val="en-US" w:eastAsia="en-GB"/>
        </w:rPr>
        <w:t>All-cause mortality 28 days after randomization</w:t>
      </w:r>
    </w:p>
    <w:p w14:paraId="7076014A" w14:textId="77777777" w:rsidR="004760BD" w:rsidRPr="002318CA" w:rsidRDefault="004760BD" w:rsidP="004760BD">
      <w:pPr>
        <w:pStyle w:val="Paragraphedeliste"/>
        <w:numPr>
          <w:ilvl w:val="0"/>
          <w:numId w:val="27"/>
        </w:numPr>
        <w:spacing w:line="360" w:lineRule="auto"/>
        <w:ind w:left="714" w:hanging="357"/>
        <w:rPr>
          <w:rFonts w:eastAsia="Times New Roman"/>
          <w:color w:val="auto"/>
          <w:sz w:val="20"/>
          <w:szCs w:val="20"/>
          <w:lang w:val="en-US" w:eastAsia="en-GB"/>
        </w:rPr>
      </w:pPr>
      <w:r w:rsidRPr="002318CA">
        <w:rPr>
          <w:rFonts w:eastAsia="Times New Roman"/>
          <w:color w:val="auto"/>
          <w:sz w:val="20"/>
          <w:szCs w:val="20"/>
          <w:lang w:val="en-US" w:eastAsia="en-GB"/>
        </w:rPr>
        <w:t>Intensive care unit length of stay (when applicable)</w:t>
      </w:r>
    </w:p>
    <w:p w14:paraId="7A1C61E0" w14:textId="77777777" w:rsidR="004760BD" w:rsidRPr="002318CA" w:rsidRDefault="004760BD" w:rsidP="004760BD">
      <w:pPr>
        <w:pStyle w:val="Paragraphedeliste"/>
        <w:numPr>
          <w:ilvl w:val="0"/>
          <w:numId w:val="27"/>
        </w:numPr>
        <w:spacing w:line="360" w:lineRule="auto"/>
        <w:ind w:left="714" w:hanging="357"/>
        <w:rPr>
          <w:rFonts w:eastAsia="Times New Roman"/>
          <w:color w:val="auto"/>
          <w:sz w:val="20"/>
          <w:szCs w:val="20"/>
          <w:lang w:val="en-US" w:eastAsia="en-GB"/>
        </w:rPr>
      </w:pPr>
      <w:r w:rsidRPr="002318CA">
        <w:rPr>
          <w:rFonts w:eastAsia="Times New Roman"/>
          <w:color w:val="auto"/>
          <w:sz w:val="20"/>
          <w:szCs w:val="20"/>
          <w:lang w:val="en-US" w:eastAsia="en-GB"/>
        </w:rPr>
        <w:t>Hospital length of stay</w:t>
      </w:r>
    </w:p>
    <w:p w14:paraId="0582ADAD" w14:textId="77777777" w:rsidR="00AA6792" w:rsidRPr="0025431D" w:rsidRDefault="00AA6792" w:rsidP="00AA6792">
      <w:pPr>
        <w:spacing w:line="480" w:lineRule="auto"/>
        <w:rPr>
          <w:sz w:val="20"/>
          <w:szCs w:val="20"/>
          <w:lang w:val="en-US"/>
        </w:rPr>
      </w:pPr>
    </w:p>
    <w:p w14:paraId="09516D98" w14:textId="6B07F713" w:rsidR="00700584" w:rsidRPr="005604BD" w:rsidRDefault="007D4CAA" w:rsidP="00700584">
      <w:pPr>
        <w:pStyle w:val="Titre3"/>
        <w:keepLines w:val="0"/>
        <w:tabs>
          <w:tab w:val="left" w:pos="709"/>
        </w:tabs>
        <w:spacing w:before="240" w:after="60" w:line="480" w:lineRule="auto"/>
        <w:jc w:val="both"/>
        <w:rPr>
          <w:rFonts w:ascii="Arial" w:eastAsia="Arial" w:hAnsi="Arial" w:cs="Arial"/>
          <w:bCs w:val="0"/>
          <w:i/>
          <w:color w:val="auto"/>
          <w:sz w:val="20"/>
          <w:szCs w:val="20"/>
          <w:lang w:val="en-US"/>
        </w:rPr>
      </w:pPr>
      <w:bookmarkStart w:id="3" w:name="h.319y80a" w:colFirst="0" w:colLast="0"/>
      <w:bookmarkStart w:id="4" w:name="h.1gf8i83" w:colFirst="0" w:colLast="0"/>
      <w:bookmarkStart w:id="5" w:name="h.40ew0vw" w:colFirst="0" w:colLast="0"/>
      <w:bookmarkEnd w:id="3"/>
      <w:bookmarkEnd w:id="4"/>
      <w:bookmarkEnd w:id="5"/>
      <w:r>
        <w:rPr>
          <w:rFonts w:asciiTheme="minorHAnsi" w:eastAsiaTheme="minorEastAsia" w:hAnsiTheme="minorHAnsi" w:cstheme="minorBidi"/>
          <w:lang w:val="en-US"/>
        </w:rPr>
        <w:t>Additional file 1</w:t>
      </w:r>
      <w:r w:rsidR="00700584">
        <w:rPr>
          <w:rFonts w:asciiTheme="minorHAnsi" w:eastAsiaTheme="minorEastAsia" w:hAnsiTheme="minorHAnsi" w:cstheme="minorBidi"/>
          <w:lang w:val="en-US"/>
        </w:rPr>
        <w:t>.</w:t>
      </w:r>
    </w:p>
    <w:p w14:paraId="56558882" w14:textId="77777777" w:rsidR="00700584" w:rsidRPr="00700584" w:rsidRDefault="00700584" w:rsidP="00700584">
      <w:pPr>
        <w:rPr>
          <w:b/>
        </w:rPr>
      </w:pPr>
      <w:r w:rsidRPr="00700584">
        <w:rPr>
          <w:b/>
        </w:rPr>
        <w:t>Statistical analysis</w:t>
      </w:r>
    </w:p>
    <w:p w14:paraId="2A62C54F" w14:textId="77777777" w:rsidR="00700584" w:rsidRDefault="00700584" w:rsidP="00700584"/>
    <w:p w14:paraId="2A3838A0" w14:textId="77777777" w:rsidR="00700584" w:rsidRPr="00700584" w:rsidRDefault="00700584" w:rsidP="00700584">
      <w:pPr>
        <w:widowControl w:val="0"/>
        <w:spacing w:line="480" w:lineRule="auto"/>
        <w:rPr>
          <w:rFonts w:ascii="Arial" w:eastAsia="Times New Roman" w:hAnsi="Arial" w:cs="Arial"/>
          <w:sz w:val="20"/>
          <w:szCs w:val="20"/>
          <w:lang w:val="en-US" w:eastAsia="en-GB"/>
        </w:rPr>
      </w:pPr>
      <w:r w:rsidRPr="00700584">
        <w:rPr>
          <w:rFonts w:ascii="Arial" w:eastAsia="Times New Roman" w:hAnsi="Arial" w:cs="Arial"/>
          <w:sz w:val="20"/>
          <w:szCs w:val="20"/>
          <w:lang w:val="en-US" w:eastAsia="en-GB"/>
        </w:rPr>
        <w:t xml:space="preserve">We also plan to conduct multiple logistic regression analysis adjusting for baseline variables and stratification variables (heart failure history and center). Per-protocol analyses will be also conducted, especially when considering safety criteria (episodes of hypotension requiring vasopressors administration during anesthesia and surgery). </w:t>
      </w:r>
    </w:p>
    <w:p w14:paraId="49E10C32" w14:textId="77777777" w:rsidR="00700584" w:rsidRPr="00700584" w:rsidRDefault="00700584" w:rsidP="00700584">
      <w:pPr>
        <w:spacing w:line="480" w:lineRule="auto"/>
        <w:rPr>
          <w:rFonts w:ascii="Arial" w:eastAsia="Times New Roman" w:hAnsi="Arial" w:cs="Arial"/>
          <w:sz w:val="20"/>
          <w:szCs w:val="20"/>
          <w:lang w:val="en-US" w:eastAsia="en-GB"/>
        </w:rPr>
      </w:pPr>
      <w:r w:rsidRPr="00700584">
        <w:rPr>
          <w:rFonts w:ascii="Arial" w:eastAsia="Times New Roman" w:hAnsi="Arial" w:cs="Arial"/>
          <w:sz w:val="20"/>
          <w:szCs w:val="20"/>
          <w:lang w:val="en-US" w:eastAsia="en-GB"/>
        </w:rPr>
        <w:t xml:space="preserve">Primary analysis will be performed on all patients included and randomized in the trial in order to respect the intention-to-treat principle. Only patients who withdrew consent will be excluded. </w:t>
      </w:r>
    </w:p>
    <w:p w14:paraId="599DAB3C" w14:textId="77777777" w:rsidR="00700584" w:rsidRDefault="00700584" w:rsidP="00700584">
      <w:pPr>
        <w:spacing w:line="480" w:lineRule="auto"/>
        <w:rPr>
          <w:rFonts w:ascii="Arial" w:eastAsia="Times New Roman" w:hAnsi="Arial" w:cs="Arial"/>
          <w:sz w:val="20"/>
          <w:szCs w:val="20"/>
          <w:lang w:val="en-US" w:eastAsia="en-GB"/>
        </w:rPr>
      </w:pPr>
      <w:r w:rsidRPr="00700584">
        <w:rPr>
          <w:rFonts w:ascii="Arial" w:eastAsia="Times New Roman" w:hAnsi="Arial" w:cs="Arial"/>
          <w:sz w:val="20"/>
          <w:szCs w:val="20"/>
          <w:lang w:val="en-US" w:eastAsia="en-GB"/>
        </w:rPr>
        <w:t>Two interim analyses of main outcome measure will be performed after enrolment of one-third and two-third of the patients.</w:t>
      </w:r>
    </w:p>
    <w:tbl>
      <w:tblPr>
        <w:tblStyle w:val="Grilledutableau"/>
        <w:tblW w:w="0" w:type="auto"/>
        <w:tblLook w:val="04A0" w:firstRow="1" w:lastRow="0" w:firstColumn="1" w:lastColumn="0" w:noHBand="0" w:noVBand="1"/>
      </w:tblPr>
      <w:tblGrid>
        <w:gridCol w:w="1817"/>
        <w:gridCol w:w="1818"/>
        <w:gridCol w:w="1798"/>
        <w:gridCol w:w="1811"/>
        <w:gridCol w:w="1812"/>
      </w:tblGrid>
      <w:tr w:rsidR="009840B8" w:rsidRPr="0025431D" w14:paraId="569C610F" w14:textId="77777777" w:rsidTr="00030466">
        <w:tc>
          <w:tcPr>
            <w:tcW w:w="1869" w:type="dxa"/>
          </w:tcPr>
          <w:p w14:paraId="61DBD3AA" w14:textId="77777777" w:rsidR="009840B8" w:rsidRPr="0025431D" w:rsidRDefault="009840B8" w:rsidP="00030466">
            <w:pPr>
              <w:spacing w:line="360" w:lineRule="auto"/>
              <w:rPr>
                <w:rFonts w:ascii="Arial" w:eastAsia="Times New Roman" w:hAnsi="Arial" w:cs="Arial"/>
                <w:sz w:val="20"/>
                <w:szCs w:val="20"/>
                <w:lang w:val="en-US"/>
              </w:rPr>
            </w:pPr>
            <w:r w:rsidRPr="0025431D">
              <w:rPr>
                <w:rFonts w:ascii="Arial" w:eastAsia="Times New Roman" w:hAnsi="Arial" w:cs="Arial"/>
                <w:sz w:val="20"/>
                <w:szCs w:val="20"/>
                <w:lang w:val="en-US"/>
              </w:rPr>
              <w:t>No. of analysis</w:t>
            </w:r>
          </w:p>
        </w:tc>
        <w:tc>
          <w:tcPr>
            <w:tcW w:w="1869" w:type="dxa"/>
          </w:tcPr>
          <w:p w14:paraId="4954066F" w14:textId="77777777" w:rsidR="009840B8" w:rsidRPr="0025431D" w:rsidRDefault="009840B8" w:rsidP="00030466">
            <w:pPr>
              <w:spacing w:line="360" w:lineRule="auto"/>
              <w:rPr>
                <w:rFonts w:ascii="Arial" w:eastAsia="Times New Roman" w:hAnsi="Arial" w:cs="Arial"/>
                <w:sz w:val="20"/>
                <w:szCs w:val="20"/>
                <w:lang w:val="en-US"/>
              </w:rPr>
            </w:pPr>
            <w:r w:rsidRPr="0025431D">
              <w:rPr>
                <w:rFonts w:ascii="Arial" w:eastAsia="Times New Roman" w:hAnsi="Arial" w:cs="Arial"/>
                <w:sz w:val="20"/>
                <w:szCs w:val="20"/>
                <w:lang w:val="en-US"/>
              </w:rPr>
              <w:t>No. of subjects</w:t>
            </w:r>
          </w:p>
        </w:tc>
        <w:tc>
          <w:tcPr>
            <w:tcW w:w="1869" w:type="dxa"/>
          </w:tcPr>
          <w:p w14:paraId="3787BCD2" w14:textId="77777777" w:rsidR="009840B8" w:rsidRPr="0025431D" w:rsidRDefault="009840B8" w:rsidP="00030466">
            <w:pPr>
              <w:spacing w:line="360" w:lineRule="auto"/>
              <w:rPr>
                <w:rFonts w:ascii="Arial" w:eastAsia="Times New Roman" w:hAnsi="Arial" w:cs="Arial"/>
                <w:sz w:val="20"/>
                <w:szCs w:val="20"/>
                <w:lang w:val="en-US"/>
              </w:rPr>
            </w:pPr>
            <w:r w:rsidRPr="0025431D">
              <w:rPr>
                <w:rFonts w:ascii="Arial" w:eastAsia="Times New Roman" w:hAnsi="Arial" w:cs="Arial"/>
                <w:sz w:val="20"/>
                <w:szCs w:val="20"/>
                <w:lang w:val="en-US"/>
              </w:rPr>
              <w:t>Z</w:t>
            </w:r>
          </w:p>
        </w:tc>
        <w:tc>
          <w:tcPr>
            <w:tcW w:w="1869" w:type="dxa"/>
          </w:tcPr>
          <w:p w14:paraId="6D639EBA" w14:textId="77777777" w:rsidR="009840B8" w:rsidRPr="0025431D" w:rsidRDefault="009840B8" w:rsidP="00030466">
            <w:pPr>
              <w:spacing w:line="360" w:lineRule="auto"/>
              <w:rPr>
                <w:rFonts w:ascii="Arial" w:eastAsia="Times New Roman" w:hAnsi="Arial" w:cs="Arial"/>
                <w:sz w:val="20"/>
                <w:szCs w:val="20"/>
                <w:lang w:val="en-US"/>
              </w:rPr>
            </w:pPr>
            <w:r w:rsidRPr="0025431D">
              <w:rPr>
                <w:rFonts w:ascii="Arial" w:eastAsia="Times New Roman" w:hAnsi="Arial" w:cs="Arial"/>
                <w:sz w:val="20"/>
                <w:szCs w:val="20"/>
                <w:lang w:val="en-US"/>
              </w:rPr>
              <w:t>Type I error</w:t>
            </w:r>
          </w:p>
        </w:tc>
        <w:tc>
          <w:tcPr>
            <w:tcW w:w="1870" w:type="dxa"/>
          </w:tcPr>
          <w:p w14:paraId="21CD28A1" w14:textId="77777777" w:rsidR="009840B8" w:rsidRPr="0025431D" w:rsidRDefault="009840B8" w:rsidP="00030466">
            <w:pPr>
              <w:spacing w:line="360" w:lineRule="auto"/>
              <w:rPr>
                <w:rFonts w:ascii="Arial" w:eastAsia="Times New Roman" w:hAnsi="Arial" w:cs="Arial"/>
                <w:sz w:val="20"/>
                <w:szCs w:val="20"/>
                <w:lang w:val="en-US"/>
              </w:rPr>
            </w:pPr>
            <w:r w:rsidRPr="0025431D">
              <w:rPr>
                <w:rFonts w:ascii="Arial" w:eastAsia="Times New Roman" w:hAnsi="Arial" w:cs="Arial"/>
                <w:sz w:val="20"/>
                <w:szCs w:val="20"/>
                <w:lang w:val="en-US"/>
              </w:rPr>
              <w:t>P value</w:t>
            </w:r>
          </w:p>
        </w:tc>
      </w:tr>
      <w:tr w:rsidR="009840B8" w:rsidRPr="0025431D" w14:paraId="7A6449D2" w14:textId="77777777" w:rsidTr="00030466">
        <w:tc>
          <w:tcPr>
            <w:tcW w:w="1869" w:type="dxa"/>
          </w:tcPr>
          <w:p w14:paraId="48445B9C" w14:textId="77777777" w:rsidR="009840B8" w:rsidRPr="0025431D" w:rsidRDefault="009840B8" w:rsidP="00030466">
            <w:pPr>
              <w:spacing w:line="360" w:lineRule="auto"/>
              <w:rPr>
                <w:rFonts w:ascii="Arial" w:eastAsia="Times New Roman" w:hAnsi="Arial" w:cs="Arial"/>
                <w:sz w:val="20"/>
                <w:szCs w:val="20"/>
                <w:lang w:val="en-US"/>
              </w:rPr>
            </w:pPr>
            <w:r w:rsidRPr="0025431D">
              <w:rPr>
                <w:rFonts w:ascii="Arial" w:eastAsia="Times New Roman" w:hAnsi="Arial" w:cs="Arial"/>
                <w:sz w:val="20"/>
                <w:szCs w:val="20"/>
                <w:lang w:val="en-US"/>
              </w:rPr>
              <w:t>Interim 1</w:t>
            </w:r>
          </w:p>
        </w:tc>
        <w:tc>
          <w:tcPr>
            <w:tcW w:w="1869" w:type="dxa"/>
          </w:tcPr>
          <w:p w14:paraId="017B3D60" w14:textId="77777777" w:rsidR="009840B8" w:rsidRPr="0025431D" w:rsidRDefault="009840B8" w:rsidP="00030466">
            <w:pPr>
              <w:spacing w:line="360" w:lineRule="auto"/>
              <w:rPr>
                <w:rFonts w:ascii="Arial" w:eastAsia="Times New Roman" w:hAnsi="Arial" w:cs="Arial"/>
                <w:sz w:val="20"/>
                <w:szCs w:val="20"/>
                <w:lang w:val="en-US"/>
              </w:rPr>
            </w:pPr>
            <w:r w:rsidRPr="0025431D">
              <w:rPr>
                <w:rFonts w:ascii="Arial" w:eastAsia="Times New Roman" w:hAnsi="Arial" w:cs="Arial"/>
                <w:sz w:val="20"/>
                <w:szCs w:val="20"/>
                <w:lang w:val="en-US"/>
              </w:rPr>
              <w:t>741</w:t>
            </w:r>
          </w:p>
        </w:tc>
        <w:tc>
          <w:tcPr>
            <w:tcW w:w="1869" w:type="dxa"/>
          </w:tcPr>
          <w:p w14:paraId="6FEE4D36" w14:textId="77777777" w:rsidR="009840B8" w:rsidRPr="0025431D" w:rsidRDefault="009840B8" w:rsidP="00030466">
            <w:pPr>
              <w:spacing w:line="360" w:lineRule="auto"/>
              <w:rPr>
                <w:rFonts w:ascii="Arial" w:eastAsia="Times New Roman" w:hAnsi="Arial" w:cs="Arial"/>
                <w:sz w:val="20"/>
                <w:szCs w:val="20"/>
                <w:lang w:val="en-US"/>
              </w:rPr>
            </w:pPr>
            <w:r w:rsidRPr="0025431D">
              <w:rPr>
                <w:rFonts w:ascii="Arial" w:eastAsia="Times New Roman" w:hAnsi="Arial" w:cs="Arial"/>
                <w:sz w:val="20"/>
                <w:szCs w:val="20"/>
                <w:lang w:val="en-US"/>
              </w:rPr>
              <w:t>2.79</w:t>
            </w:r>
          </w:p>
        </w:tc>
        <w:tc>
          <w:tcPr>
            <w:tcW w:w="1869" w:type="dxa"/>
          </w:tcPr>
          <w:p w14:paraId="2414F972" w14:textId="77777777" w:rsidR="009840B8" w:rsidRPr="0025431D" w:rsidRDefault="009840B8" w:rsidP="00030466">
            <w:pPr>
              <w:spacing w:line="360" w:lineRule="auto"/>
              <w:rPr>
                <w:rFonts w:ascii="Arial" w:eastAsia="Times New Roman" w:hAnsi="Arial" w:cs="Arial"/>
                <w:sz w:val="20"/>
                <w:szCs w:val="20"/>
                <w:lang w:val="en-US"/>
              </w:rPr>
            </w:pPr>
            <w:r w:rsidRPr="0025431D">
              <w:rPr>
                <w:rFonts w:ascii="Arial" w:eastAsia="Times New Roman" w:hAnsi="Arial" w:cs="Arial"/>
                <w:sz w:val="20"/>
                <w:szCs w:val="20"/>
                <w:lang w:val="en-US"/>
              </w:rPr>
              <w:t>0.0026</w:t>
            </w:r>
          </w:p>
        </w:tc>
        <w:tc>
          <w:tcPr>
            <w:tcW w:w="1870" w:type="dxa"/>
          </w:tcPr>
          <w:p w14:paraId="53B24DEC" w14:textId="77777777" w:rsidR="009840B8" w:rsidRPr="0025431D" w:rsidRDefault="009840B8" w:rsidP="00030466">
            <w:pPr>
              <w:spacing w:line="360" w:lineRule="auto"/>
              <w:rPr>
                <w:rFonts w:ascii="Arial" w:eastAsia="Times New Roman" w:hAnsi="Arial" w:cs="Arial"/>
                <w:sz w:val="20"/>
                <w:szCs w:val="20"/>
                <w:lang w:val="en-US"/>
              </w:rPr>
            </w:pPr>
            <w:r w:rsidRPr="0025431D">
              <w:rPr>
                <w:rFonts w:ascii="Arial" w:eastAsia="Times New Roman" w:hAnsi="Arial" w:cs="Arial"/>
                <w:sz w:val="20"/>
                <w:szCs w:val="20"/>
                <w:lang w:val="en-US"/>
              </w:rPr>
              <w:t>0.0026</w:t>
            </w:r>
          </w:p>
        </w:tc>
      </w:tr>
      <w:tr w:rsidR="009840B8" w:rsidRPr="0025431D" w14:paraId="77B05239" w14:textId="77777777" w:rsidTr="00030466">
        <w:tc>
          <w:tcPr>
            <w:tcW w:w="1869" w:type="dxa"/>
          </w:tcPr>
          <w:p w14:paraId="7470FD7D" w14:textId="77777777" w:rsidR="009840B8" w:rsidRPr="0025431D" w:rsidRDefault="009840B8" w:rsidP="00030466">
            <w:pPr>
              <w:spacing w:line="360" w:lineRule="auto"/>
              <w:rPr>
                <w:rFonts w:ascii="Arial" w:eastAsia="Times New Roman" w:hAnsi="Arial" w:cs="Arial"/>
                <w:sz w:val="20"/>
                <w:szCs w:val="20"/>
                <w:lang w:val="en-US"/>
              </w:rPr>
            </w:pPr>
            <w:r w:rsidRPr="0025431D">
              <w:rPr>
                <w:rFonts w:ascii="Arial" w:eastAsia="Times New Roman" w:hAnsi="Arial" w:cs="Arial"/>
                <w:sz w:val="20"/>
                <w:szCs w:val="20"/>
                <w:lang w:val="en-US"/>
              </w:rPr>
              <w:t>Interim 2</w:t>
            </w:r>
          </w:p>
        </w:tc>
        <w:tc>
          <w:tcPr>
            <w:tcW w:w="1869" w:type="dxa"/>
          </w:tcPr>
          <w:p w14:paraId="2DB99C86" w14:textId="77777777" w:rsidR="009840B8" w:rsidRPr="0025431D" w:rsidRDefault="009840B8" w:rsidP="00030466">
            <w:pPr>
              <w:spacing w:line="360" w:lineRule="auto"/>
              <w:rPr>
                <w:rFonts w:ascii="Arial" w:eastAsia="Times New Roman" w:hAnsi="Arial" w:cs="Arial"/>
                <w:sz w:val="20"/>
                <w:szCs w:val="20"/>
                <w:lang w:val="en-US"/>
              </w:rPr>
            </w:pPr>
            <w:r w:rsidRPr="0025431D">
              <w:rPr>
                <w:rFonts w:ascii="Arial" w:eastAsia="Times New Roman" w:hAnsi="Arial" w:cs="Arial"/>
                <w:sz w:val="20"/>
                <w:szCs w:val="20"/>
                <w:lang w:val="en-US"/>
              </w:rPr>
              <w:t>1481</w:t>
            </w:r>
          </w:p>
        </w:tc>
        <w:tc>
          <w:tcPr>
            <w:tcW w:w="1869" w:type="dxa"/>
          </w:tcPr>
          <w:p w14:paraId="44B67AC0" w14:textId="77777777" w:rsidR="009840B8" w:rsidRPr="0025431D" w:rsidRDefault="009840B8" w:rsidP="00030466">
            <w:pPr>
              <w:spacing w:line="360" w:lineRule="auto"/>
              <w:rPr>
                <w:rFonts w:ascii="Arial" w:eastAsia="Times New Roman" w:hAnsi="Arial" w:cs="Arial"/>
                <w:sz w:val="20"/>
                <w:szCs w:val="20"/>
                <w:lang w:val="en-US"/>
              </w:rPr>
            </w:pPr>
            <w:r w:rsidRPr="0025431D">
              <w:rPr>
                <w:rFonts w:ascii="Arial" w:eastAsia="Times New Roman" w:hAnsi="Arial" w:cs="Arial"/>
                <w:sz w:val="20"/>
                <w:szCs w:val="20"/>
                <w:lang w:val="en-US"/>
              </w:rPr>
              <w:t>2.29</w:t>
            </w:r>
          </w:p>
        </w:tc>
        <w:tc>
          <w:tcPr>
            <w:tcW w:w="1869" w:type="dxa"/>
          </w:tcPr>
          <w:p w14:paraId="278FE8D3" w14:textId="77777777" w:rsidR="009840B8" w:rsidRPr="0025431D" w:rsidRDefault="009840B8" w:rsidP="00030466">
            <w:pPr>
              <w:spacing w:line="360" w:lineRule="auto"/>
              <w:rPr>
                <w:rFonts w:ascii="Arial" w:eastAsia="Times New Roman" w:hAnsi="Arial" w:cs="Arial"/>
                <w:sz w:val="20"/>
                <w:szCs w:val="20"/>
                <w:lang w:val="en-US"/>
              </w:rPr>
            </w:pPr>
            <w:r w:rsidRPr="0025431D">
              <w:rPr>
                <w:rFonts w:ascii="Arial" w:eastAsia="Times New Roman" w:hAnsi="Arial" w:cs="Arial"/>
                <w:sz w:val="20"/>
                <w:szCs w:val="20"/>
                <w:lang w:val="en-US"/>
              </w:rPr>
              <w:t>0.011</w:t>
            </w:r>
          </w:p>
        </w:tc>
        <w:tc>
          <w:tcPr>
            <w:tcW w:w="1870" w:type="dxa"/>
          </w:tcPr>
          <w:p w14:paraId="56E3AEA8" w14:textId="77777777" w:rsidR="009840B8" w:rsidRPr="0025431D" w:rsidRDefault="009840B8" w:rsidP="00030466">
            <w:pPr>
              <w:spacing w:line="360" w:lineRule="auto"/>
              <w:rPr>
                <w:rFonts w:ascii="Arial" w:eastAsia="Times New Roman" w:hAnsi="Arial" w:cs="Arial"/>
                <w:sz w:val="20"/>
                <w:szCs w:val="20"/>
                <w:lang w:val="en-US"/>
              </w:rPr>
            </w:pPr>
            <w:r w:rsidRPr="0025431D">
              <w:rPr>
                <w:rFonts w:ascii="Arial" w:eastAsia="Times New Roman" w:hAnsi="Arial" w:cs="Arial"/>
                <w:sz w:val="20"/>
                <w:szCs w:val="20"/>
                <w:lang w:val="en-US"/>
              </w:rPr>
              <w:t>0.0099</w:t>
            </w:r>
          </w:p>
        </w:tc>
      </w:tr>
      <w:tr w:rsidR="009840B8" w:rsidRPr="0025431D" w14:paraId="4AA0C132" w14:textId="77777777" w:rsidTr="00030466">
        <w:tc>
          <w:tcPr>
            <w:tcW w:w="1869" w:type="dxa"/>
          </w:tcPr>
          <w:p w14:paraId="424F43D3" w14:textId="77777777" w:rsidR="009840B8" w:rsidRPr="0025431D" w:rsidRDefault="009840B8" w:rsidP="00030466">
            <w:pPr>
              <w:spacing w:line="360" w:lineRule="auto"/>
              <w:rPr>
                <w:rFonts w:ascii="Arial" w:eastAsia="Times New Roman" w:hAnsi="Arial" w:cs="Arial"/>
                <w:sz w:val="20"/>
                <w:szCs w:val="20"/>
                <w:lang w:val="en-US"/>
              </w:rPr>
            </w:pPr>
            <w:r w:rsidRPr="0025431D">
              <w:rPr>
                <w:rFonts w:ascii="Arial" w:eastAsia="Times New Roman" w:hAnsi="Arial" w:cs="Arial"/>
                <w:sz w:val="20"/>
                <w:szCs w:val="20"/>
                <w:lang w:val="en-US"/>
              </w:rPr>
              <w:t>Final</w:t>
            </w:r>
          </w:p>
        </w:tc>
        <w:tc>
          <w:tcPr>
            <w:tcW w:w="1869" w:type="dxa"/>
          </w:tcPr>
          <w:p w14:paraId="75E9DDE0" w14:textId="77777777" w:rsidR="009840B8" w:rsidRPr="0025431D" w:rsidRDefault="009840B8" w:rsidP="00030466">
            <w:pPr>
              <w:spacing w:line="360" w:lineRule="auto"/>
              <w:rPr>
                <w:rFonts w:ascii="Arial" w:eastAsia="Times New Roman" w:hAnsi="Arial" w:cs="Arial"/>
                <w:sz w:val="20"/>
                <w:szCs w:val="20"/>
                <w:lang w:val="en-US"/>
              </w:rPr>
            </w:pPr>
            <w:r w:rsidRPr="0025431D">
              <w:rPr>
                <w:rFonts w:ascii="Arial" w:eastAsia="Times New Roman" w:hAnsi="Arial" w:cs="Arial"/>
                <w:sz w:val="20"/>
                <w:szCs w:val="20"/>
                <w:lang w:val="en-US"/>
              </w:rPr>
              <w:t>2222</w:t>
            </w:r>
          </w:p>
        </w:tc>
        <w:tc>
          <w:tcPr>
            <w:tcW w:w="1869" w:type="dxa"/>
          </w:tcPr>
          <w:p w14:paraId="27F1CD9E" w14:textId="77777777" w:rsidR="009840B8" w:rsidRPr="0025431D" w:rsidRDefault="009840B8" w:rsidP="00030466">
            <w:pPr>
              <w:spacing w:line="360" w:lineRule="auto"/>
              <w:rPr>
                <w:rFonts w:ascii="Arial" w:eastAsia="Times New Roman" w:hAnsi="Arial" w:cs="Arial"/>
                <w:sz w:val="20"/>
                <w:szCs w:val="20"/>
                <w:lang w:val="en-US"/>
              </w:rPr>
            </w:pPr>
            <w:r w:rsidRPr="0025431D">
              <w:rPr>
                <w:rFonts w:ascii="Arial" w:eastAsia="Times New Roman" w:hAnsi="Arial" w:cs="Arial"/>
                <w:sz w:val="20"/>
                <w:szCs w:val="20"/>
                <w:lang w:val="en-US"/>
              </w:rPr>
              <w:t>1.68</w:t>
            </w:r>
          </w:p>
        </w:tc>
        <w:tc>
          <w:tcPr>
            <w:tcW w:w="1869" w:type="dxa"/>
          </w:tcPr>
          <w:p w14:paraId="0269E7F7" w14:textId="77777777" w:rsidR="009840B8" w:rsidRPr="0025431D" w:rsidRDefault="009840B8" w:rsidP="00030466">
            <w:pPr>
              <w:spacing w:line="360" w:lineRule="auto"/>
              <w:rPr>
                <w:rFonts w:ascii="Arial" w:eastAsia="Times New Roman" w:hAnsi="Arial" w:cs="Arial"/>
                <w:sz w:val="20"/>
                <w:szCs w:val="20"/>
                <w:lang w:val="en-US"/>
              </w:rPr>
            </w:pPr>
            <w:r w:rsidRPr="0025431D">
              <w:rPr>
                <w:rFonts w:ascii="Arial" w:eastAsia="Times New Roman" w:hAnsi="Arial" w:cs="Arial"/>
                <w:sz w:val="20"/>
                <w:szCs w:val="20"/>
                <w:lang w:val="en-US"/>
              </w:rPr>
              <w:t>0.0465</w:t>
            </w:r>
          </w:p>
        </w:tc>
        <w:tc>
          <w:tcPr>
            <w:tcW w:w="1870" w:type="dxa"/>
          </w:tcPr>
          <w:p w14:paraId="33F49FBC" w14:textId="77777777" w:rsidR="009840B8" w:rsidRPr="0025431D" w:rsidRDefault="009840B8" w:rsidP="00030466">
            <w:pPr>
              <w:spacing w:line="360" w:lineRule="auto"/>
              <w:rPr>
                <w:rFonts w:ascii="Arial" w:eastAsia="Times New Roman" w:hAnsi="Arial" w:cs="Arial"/>
                <w:sz w:val="20"/>
                <w:szCs w:val="20"/>
                <w:lang w:val="en-US"/>
              </w:rPr>
            </w:pPr>
            <w:r w:rsidRPr="0025431D">
              <w:rPr>
                <w:rFonts w:ascii="Arial" w:eastAsia="Times New Roman" w:hAnsi="Arial" w:cs="Arial"/>
                <w:sz w:val="20"/>
                <w:szCs w:val="20"/>
                <w:lang w:val="en-US"/>
              </w:rPr>
              <w:t>0.0375</w:t>
            </w:r>
          </w:p>
        </w:tc>
      </w:tr>
    </w:tbl>
    <w:p w14:paraId="76C7963F" w14:textId="77777777" w:rsidR="009840B8" w:rsidRPr="00700584" w:rsidRDefault="009840B8" w:rsidP="00700584">
      <w:pPr>
        <w:spacing w:line="480" w:lineRule="auto"/>
        <w:rPr>
          <w:rFonts w:ascii="Arial" w:eastAsia="Times New Roman" w:hAnsi="Arial" w:cs="Arial"/>
          <w:sz w:val="20"/>
          <w:szCs w:val="20"/>
          <w:lang w:val="en-US" w:eastAsia="en-GB"/>
        </w:rPr>
      </w:pPr>
    </w:p>
    <w:p w14:paraId="10BF0B2B" w14:textId="77777777" w:rsidR="00700584" w:rsidRPr="00700584" w:rsidRDefault="00700584" w:rsidP="00700584">
      <w:pPr>
        <w:spacing w:line="480" w:lineRule="auto"/>
        <w:rPr>
          <w:rFonts w:ascii="Arial" w:eastAsia="Times New Roman" w:hAnsi="Arial" w:cs="Arial"/>
          <w:sz w:val="20"/>
          <w:szCs w:val="20"/>
          <w:lang w:val="en-US" w:eastAsia="en-GB"/>
        </w:rPr>
      </w:pPr>
      <w:r w:rsidRPr="00700584">
        <w:rPr>
          <w:rFonts w:ascii="Arial" w:eastAsia="Times New Roman" w:hAnsi="Arial" w:cs="Arial"/>
          <w:sz w:val="20"/>
          <w:szCs w:val="20"/>
          <w:lang w:val="en-US" w:eastAsia="en-GB"/>
        </w:rPr>
        <w:t>Subgroups analyses will be performed, in particular analyses will conducted according to patients’ comorbidities (history of heart failure or not, chronic renal failure), concomitant medication (beta-blocker, diuretics), pre-operative levels of biomarkers (natriuretic peptides), and subtypes for surgery.</w:t>
      </w:r>
    </w:p>
    <w:p w14:paraId="0C1C3974" w14:textId="77777777" w:rsidR="00700584" w:rsidRPr="00700584" w:rsidRDefault="00700584" w:rsidP="00700584">
      <w:pPr>
        <w:spacing w:line="480" w:lineRule="auto"/>
        <w:rPr>
          <w:rFonts w:ascii="Arial" w:eastAsia="Times New Roman" w:hAnsi="Arial" w:cs="Arial"/>
          <w:sz w:val="20"/>
          <w:szCs w:val="20"/>
          <w:lang w:val="en-US" w:eastAsia="en-GB"/>
        </w:rPr>
      </w:pPr>
      <w:r w:rsidRPr="00700584">
        <w:rPr>
          <w:rFonts w:ascii="Arial" w:eastAsia="Times New Roman" w:hAnsi="Arial" w:cs="Arial"/>
          <w:sz w:val="20"/>
          <w:szCs w:val="20"/>
          <w:lang w:val="en-US" w:eastAsia="en-GB"/>
        </w:rPr>
        <w:t>Regarding secondary analyses, continuous variables will be compared using the unpaired t-test or the Mann Whitney U test and categorical variables will be compared using the chi-square test or the Fisher’s exact test.</w:t>
      </w:r>
    </w:p>
    <w:p w14:paraId="31D4DFE6" w14:textId="18278A11" w:rsidR="00700584" w:rsidRPr="00700584" w:rsidRDefault="00700584" w:rsidP="00700584">
      <w:pPr>
        <w:spacing w:line="480" w:lineRule="auto"/>
        <w:rPr>
          <w:rFonts w:ascii="Arial" w:eastAsia="Times New Roman" w:hAnsi="Arial" w:cs="Arial"/>
          <w:sz w:val="20"/>
          <w:szCs w:val="20"/>
          <w:lang w:val="en-US" w:eastAsia="en-GB"/>
        </w:rPr>
      </w:pPr>
      <w:r w:rsidRPr="00700584">
        <w:rPr>
          <w:rFonts w:ascii="Arial" w:eastAsia="Times New Roman" w:hAnsi="Arial" w:cs="Arial"/>
          <w:sz w:val="20"/>
          <w:szCs w:val="20"/>
          <w:lang w:val="en-US" w:eastAsia="en-GB"/>
        </w:rPr>
        <w:t>Multiple regressions will also be conducted, seeking to identify independent risk factors of the composite outcome. The log-linearity of the quantitative variables will be systematically evaluated, and, if appropriate, variable transformations will be performed. A selection model process will be performed using stepwise selection method. The selection process model will be further validated by bootstrap. The</w:t>
      </w:r>
      <w:r w:rsidR="0040582C">
        <w:rPr>
          <w:rFonts w:ascii="Arial" w:eastAsia="Times New Roman" w:hAnsi="Arial" w:cs="Arial"/>
          <w:sz w:val="20"/>
          <w:szCs w:val="20"/>
          <w:lang w:val="en-US" w:eastAsia="en-GB"/>
        </w:rPr>
        <w:t xml:space="preserve"> existence of any col</w:t>
      </w:r>
      <w:r w:rsidRPr="00700584">
        <w:rPr>
          <w:rFonts w:ascii="Arial" w:eastAsia="Times New Roman" w:hAnsi="Arial" w:cs="Arial"/>
          <w:sz w:val="20"/>
          <w:szCs w:val="20"/>
          <w:lang w:val="en-US" w:eastAsia="en-GB"/>
        </w:rPr>
        <w:t>inearities will be observed, and a test of goodness of fit will be performed using the test and the van Cessie Houwelingen method.  Finally a cross-validation procedure will be performed. The measures of association will be provided, with odds ratios and confidence intervals at 95 %.</w:t>
      </w:r>
    </w:p>
    <w:p w14:paraId="4E9E3C57" w14:textId="77777777" w:rsidR="00700584" w:rsidRPr="00700584" w:rsidRDefault="00700584" w:rsidP="00700584">
      <w:pPr>
        <w:spacing w:line="480" w:lineRule="auto"/>
        <w:rPr>
          <w:rFonts w:ascii="Arial" w:eastAsia="Times New Roman" w:hAnsi="Arial" w:cs="Arial"/>
          <w:sz w:val="20"/>
          <w:szCs w:val="20"/>
          <w:lang w:val="en-US" w:eastAsia="en-GB"/>
        </w:rPr>
      </w:pPr>
      <w:r w:rsidRPr="00700584">
        <w:rPr>
          <w:rFonts w:ascii="Arial" w:eastAsia="Times New Roman" w:hAnsi="Arial" w:cs="Arial"/>
          <w:sz w:val="20"/>
          <w:szCs w:val="20"/>
          <w:lang w:val="en-US" w:eastAsia="en-GB"/>
        </w:rPr>
        <w:t xml:space="preserve">To maintain an overall type I error at 5%, the critical level of significance of the interim analysis was fixed at according to O’Brien and Fleming principle. The trial will be stopped after interim analysis in case of significant difference between the groups or at the end of the planned patients’ enrolment. </w:t>
      </w:r>
    </w:p>
    <w:p w14:paraId="277DC1E1" w14:textId="77777777" w:rsidR="00700584" w:rsidRDefault="00700584" w:rsidP="00700584">
      <w:pPr>
        <w:spacing w:line="480" w:lineRule="auto"/>
        <w:rPr>
          <w:rFonts w:ascii="Arial" w:eastAsia="Times New Roman" w:hAnsi="Arial" w:cs="Arial"/>
          <w:sz w:val="20"/>
          <w:szCs w:val="20"/>
          <w:lang w:val="en-US" w:eastAsia="en-GB"/>
        </w:rPr>
      </w:pPr>
      <w:r w:rsidRPr="00700584">
        <w:rPr>
          <w:rFonts w:ascii="Arial" w:eastAsia="Times New Roman" w:hAnsi="Arial" w:cs="Arial"/>
          <w:sz w:val="20"/>
          <w:szCs w:val="20"/>
          <w:lang w:val="en-US" w:eastAsia="en-GB"/>
        </w:rPr>
        <w:t>Any missing value will be replaced by the previous value (the last value carried forward method). Sensitivity analyses for missing values will be conducted, for example, using a multiple imputation (MICE, multiple imputation by chained equations.</w:t>
      </w:r>
      <w:bookmarkStart w:id="6" w:name="h.2iq8gzs" w:colFirst="0" w:colLast="0"/>
      <w:bookmarkStart w:id="7" w:name="h.xvir7l" w:colFirst="0" w:colLast="0"/>
      <w:bookmarkStart w:id="8" w:name="h.3hv69ve" w:colFirst="0" w:colLast="0"/>
      <w:bookmarkEnd w:id="6"/>
      <w:bookmarkEnd w:id="7"/>
      <w:bookmarkEnd w:id="8"/>
    </w:p>
    <w:p w14:paraId="70C6EC81" w14:textId="77777777" w:rsidR="004929EC" w:rsidRPr="00700584" w:rsidRDefault="004929EC" w:rsidP="00700584">
      <w:pPr>
        <w:spacing w:line="480" w:lineRule="auto"/>
        <w:rPr>
          <w:rFonts w:ascii="Arial" w:eastAsia="Times New Roman" w:hAnsi="Arial" w:cs="Arial"/>
          <w:sz w:val="20"/>
          <w:szCs w:val="20"/>
          <w:lang w:val="en-US" w:eastAsia="en-GB"/>
        </w:rPr>
      </w:pPr>
    </w:p>
    <w:p w14:paraId="1E839A46" w14:textId="77777777" w:rsidR="00700584" w:rsidRPr="00700584" w:rsidRDefault="00700584" w:rsidP="00700584">
      <w:pPr>
        <w:rPr>
          <w:rFonts w:ascii="Arial" w:eastAsia="Times New Roman" w:hAnsi="Arial" w:cs="Arial"/>
          <w:sz w:val="20"/>
          <w:szCs w:val="20"/>
          <w:lang w:val="en-US" w:eastAsia="en-GB"/>
        </w:rPr>
      </w:pPr>
    </w:p>
    <w:p w14:paraId="014D67F2" w14:textId="77777777" w:rsidR="00AA6792" w:rsidRPr="00700584" w:rsidRDefault="00AA6792" w:rsidP="00AA6792">
      <w:pPr>
        <w:spacing w:line="480" w:lineRule="auto"/>
        <w:rPr>
          <w:rFonts w:ascii="Arial" w:eastAsia="Times New Roman" w:hAnsi="Arial" w:cs="Arial"/>
          <w:sz w:val="20"/>
          <w:szCs w:val="20"/>
          <w:lang w:val="en-US" w:eastAsia="en-GB"/>
        </w:rPr>
      </w:pPr>
    </w:p>
    <w:p w14:paraId="119954D5" w14:textId="77777777" w:rsidR="00A038C9" w:rsidRPr="007D2B1E" w:rsidRDefault="00A038C9">
      <w:pPr>
        <w:rPr>
          <w:lang w:val="en-US"/>
        </w:rPr>
      </w:pPr>
    </w:p>
    <w:sectPr w:rsidR="00A038C9" w:rsidRPr="007D2B1E" w:rsidSect="00A038C9">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5C78F" w14:textId="77777777" w:rsidR="00964B72" w:rsidRDefault="00964B72">
      <w:r>
        <w:separator/>
      </w:r>
    </w:p>
  </w:endnote>
  <w:endnote w:type="continuationSeparator" w:id="0">
    <w:p w14:paraId="4700D892" w14:textId="77777777" w:rsidR="00964B72" w:rsidRDefault="0096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81F69" w14:textId="77777777" w:rsidR="00964B72" w:rsidRPr="002A4853" w:rsidRDefault="00964B72" w:rsidP="00030466">
    <w:pPr>
      <w:rPr>
        <w:lang w:val="en-US"/>
      </w:rPr>
    </w:pPr>
    <w:r>
      <w:rPr>
        <w:sz w:val="16"/>
        <w:szCs w:val="16"/>
        <w:lang w:val="en-US"/>
      </w:rPr>
      <w:t>STOPorNOT</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p>
  <w:p w14:paraId="49B9CEAE" w14:textId="77777777" w:rsidR="00964B72" w:rsidRPr="002A4853" w:rsidRDefault="00964B72">
    <w:pPr>
      <w:jc w:val="center"/>
      <w:rPr>
        <w:lang w:val="en-US"/>
      </w:rPr>
    </w:pPr>
  </w:p>
  <w:p w14:paraId="783ACEF6" w14:textId="2B95003E" w:rsidR="00964B72" w:rsidRPr="002A4853" w:rsidRDefault="00964B72">
    <w:pPr>
      <w:tabs>
        <w:tab w:val="left" w:pos="6090"/>
      </w:tabs>
      <w:ind w:right="357"/>
      <w:rPr>
        <w:lang w:val="en-US"/>
      </w:rPr>
    </w:pPr>
    <w:r w:rsidRPr="002A4853">
      <w:rPr>
        <w:lang w:val="en-US"/>
      </w:rPr>
      <w:tab/>
    </w:r>
    <w:r w:rsidRPr="002A4853">
      <w:rPr>
        <w:lang w:val="en-US"/>
      </w:rPr>
      <w:tab/>
    </w:r>
    <w:r w:rsidRPr="002A4853">
      <w:rPr>
        <w:sz w:val="18"/>
        <w:szCs w:val="18"/>
        <w:lang w:val="en-US"/>
      </w:rPr>
      <w:t xml:space="preserve">Page </w:t>
    </w:r>
    <w:r>
      <w:fldChar w:fldCharType="begin"/>
    </w:r>
    <w:r w:rsidRPr="002A4853">
      <w:rPr>
        <w:lang w:val="en-US"/>
      </w:rPr>
      <w:instrText>PAGE</w:instrText>
    </w:r>
    <w:r>
      <w:fldChar w:fldCharType="separate"/>
    </w:r>
    <w:r w:rsidR="007D2B1E">
      <w:rPr>
        <w:noProof/>
        <w:lang w:val="en-US"/>
      </w:rPr>
      <w:t>1</w:t>
    </w:r>
    <w:r>
      <w:fldChar w:fldCharType="end"/>
    </w:r>
    <w:r w:rsidRPr="002A4853">
      <w:rPr>
        <w:sz w:val="18"/>
        <w:szCs w:val="18"/>
        <w:lang w:val="en-US"/>
      </w:rPr>
      <w:t xml:space="preserve"> / </w:t>
    </w:r>
    <w:r>
      <w:fldChar w:fldCharType="begin"/>
    </w:r>
    <w:r w:rsidRPr="002A4853">
      <w:rPr>
        <w:lang w:val="en-US"/>
      </w:rPr>
      <w:instrText>NUMPAGES</w:instrText>
    </w:r>
    <w:r>
      <w:fldChar w:fldCharType="separate"/>
    </w:r>
    <w:r w:rsidR="007D2B1E">
      <w:rPr>
        <w:noProof/>
        <w:lang w:val="en-US"/>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5E7AA" w14:textId="77777777" w:rsidR="00964B72" w:rsidRDefault="00964B72">
      <w:r>
        <w:separator/>
      </w:r>
    </w:p>
  </w:footnote>
  <w:footnote w:type="continuationSeparator" w:id="0">
    <w:p w14:paraId="4FA4EEB5" w14:textId="77777777" w:rsidR="00964B72" w:rsidRDefault="00964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5FE"/>
    <w:multiLevelType w:val="hybridMultilevel"/>
    <w:tmpl w:val="248ED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B20666"/>
    <w:multiLevelType w:val="hybridMultilevel"/>
    <w:tmpl w:val="58D08F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7C6F31"/>
    <w:multiLevelType w:val="hybridMultilevel"/>
    <w:tmpl w:val="0CA6A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093459"/>
    <w:multiLevelType w:val="hybridMultilevel"/>
    <w:tmpl w:val="775CA420"/>
    <w:lvl w:ilvl="0" w:tplc="A0D69E40">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986A1B"/>
    <w:multiLevelType w:val="hybridMultilevel"/>
    <w:tmpl w:val="CC989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AC40BF"/>
    <w:multiLevelType w:val="hybridMultilevel"/>
    <w:tmpl w:val="6C080D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A45A65"/>
    <w:multiLevelType w:val="hybridMultilevel"/>
    <w:tmpl w:val="2E26C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CD1761"/>
    <w:multiLevelType w:val="hybridMultilevel"/>
    <w:tmpl w:val="26028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0E613A"/>
    <w:multiLevelType w:val="hybridMultilevel"/>
    <w:tmpl w:val="65BA0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721866"/>
    <w:multiLevelType w:val="hybridMultilevel"/>
    <w:tmpl w:val="4F62B29E"/>
    <w:lvl w:ilvl="0" w:tplc="040C0001">
      <w:start w:val="1"/>
      <w:numFmt w:val="bullet"/>
      <w:lvlText w:val=""/>
      <w:lvlJc w:val="left"/>
      <w:pPr>
        <w:ind w:left="720" w:hanging="360"/>
      </w:pPr>
      <w:rPr>
        <w:rFonts w:ascii="Symbol" w:hAnsi="Symbol" w:hint="default"/>
      </w:rPr>
    </w:lvl>
    <w:lvl w:ilvl="1" w:tplc="F22C1CB4">
      <w:numFmt w:val="bullet"/>
      <w:lvlText w:val="·"/>
      <w:lvlJc w:val="left"/>
      <w:pPr>
        <w:ind w:left="1875" w:hanging="795"/>
      </w:pPr>
      <w:rPr>
        <w:rFonts w:ascii="Arial" w:eastAsia="Arial"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525137"/>
    <w:multiLevelType w:val="hybridMultilevel"/>
    <w:tmpl w:val="C28A9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966CB2"/>
    <w:multiLevelType w:val="hybridMultilevel"/>
    <w:tmpl w:val="395AA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142C81"/>
    <w:multiLevelType w:val="hybridMultilevel"/>
    <w:tmpl w:val="1CE62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1E058D"/>
    <w:multiLevelType w:val="hybridMultilevel"/>
    <w:tmpl w:val="51686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3C5885"/>
    <w:multiLevelType w:val="hybridMultilevel"/>
    <w:tmpl w:val="694C0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265FB0"/>
    <w:multiLevelType w:val="hybridMultilevel"/>
    <w:tmpl w:val="774AB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AE7A77"/>
    <w:multiLevelType w:val="hybridMultilevel"/>
    <w:tmpl w:val="0E1A67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D8212B"/>
    <w:multiLevelType w:val="hybridMultilevel"/>
    <w:tmpl w:val="550AFB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863A03"/>
    <w:multiLevelType w:val="hybridMultilevel"/>
    <w:tmpl w:val="880E1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F414B5"/>
    <w:multiLevelType w:val="hybridMultilevel"/>
    <w:tmpl w:val="3F784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80A4C78"/>
    <w:multiLevelType w:val="hybridMultilevel"/>
    <w:tmpl w:val="518AA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9A67BA"/>
    <w:multiLevelType w:val="hybridMultilevel"/>
    <w:tmpl w:val="F358F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3C3B80"/>
    <w:multiLevelType w:val="hybridMultilevel"/>
    <w:tmpl w:val="4DB81846"/>
    <w:lvl w:ilvl="0" w:tplc="E8FEFFDC">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F17382"/>
    <w:multiLevelType w:val="hybridMultilevel"/>
    <w:tmpl w:val="01347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D37654"/>
    <w:multiLevelType w:val="hybridMultilevel"/>
    <w:tmpl w:val="A6C45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62070E8"/>
    <w:multiLevelType w:val="hybridMultilevel"/>
    <w:tmpl w:val="6986D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80779E7"/>
    <w:multiLevelType w:val="hybridMultilevel"/>
    <w:tmpl w:val="E182D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A7773FB"/>
    <w:multiLevelType w:val="multilevel"/>
    <w:tmpl w:val="B7DAB7E6"/>
    <w:lvl w:ilvl="0">
      <w:start w:val="1"/>
      <w:numFmt w:val="decimal"/>
      <w:lvlText w:val="%1"/>
      <w:lvlJc w:val="left"/>
      <w:pPr>
        <w:ind w:left="432" w:firstLine="0"/>
      </w:pPr>
    </w:lvl>
    <w:lvl w:ilvl="1">
      <w:start w:val="1"/>
      <w:numFmt w:val="decimal"/>
      <w:lvlText w:val="%1.%2"/>
      <w:lvlJc w:val="left"/>
      <w:pPr>
        <w:ind w:left="576" w:firstLine="0"/>
      </w:pPr>
      <w:rPr>
        <w:color w:val="auto"/>
      </w:rPr>
    </w:lvl>
    <w:lvl w:ilvl="2">
      <w:start w:val="1"/>
      <w:numFmt w:val="decimal"/>
      <w:lvlText w:val="%1.%2.%3"/>
      <w:lvlJc w:val="left"/>
      <w:pPr>
        <w:ind w:left="2705" w:firstLine="1985"/>
      </w:pPr>
      <w:rPr>
        <w:color w:val="auto"/>
      </w:r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28" w15:restartNumberingAfterBreak="0">
    <w:nsid w:val="7A9B6AED"/>
    <w:multiLevelType w:val="hybridMultilevel"/>
    <w:tmpl w:val="887A3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1340F3"/>
    <w:multiLevelType w:val="hybridMultilevel"/>
    <w:tmpl w:val="D4A2C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E6F31CF"/>
    <w:multiLevelType w:val="hybridMultilevel"/>
    <w:tmpl w:val="26A84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EB94773"/>
    <w:multiLevelType w:val="hybridMultilevel"/>
    <w:tmpl w:val="29006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28"/>
  </w:num>
  <w:num w:numId="4">
    <w:abstractNumId w:val="11"/>
  </w:num>
  <w:num w:numId="5">
    <w:abstractNumId w:val="21"/>
  </w:num>
  <w:num w:numId="6">
    <w:abstractNumId w:val="13"/>
  </w:num>
  <w:num w:numId="7">
    <w:abstractNumId w:val="24"/>
  </w:num>
  <w:num w:numId="8">
    <w:abstractNumId w:val="6"/>
  </w:num>
  <w:num w:numId="9">
    <w:abstractNumId w:val="19"/>
  </w:num>
  <w:num w:numId="10">
    <w:abstractNumId w:val="2"/>
  </w:num>
  <w:num w:numId="11">
    <w:abstractNumId w:val="20"/>
  </w:num>
  <w:num w:numId="12">
    <w:abstractNumId w:val="31"/>
  </w:num>
  <w:num w:numId="13">
    <w:abstractNumId w:val="14"/>
  </w:num>
  <w:num w:numId="14">
    <w:abstractNumId w:val="17"/>
  </w:num>
  <w:num w:numId="15">
    <w:abstractNumId w:val="4"/>
  </w:num>
  <w:num w:numId="16">
    <w:abstractNumId w:val="15"/>
  </w:num>
  <w:num w:numId="17">
    <w:abstractNumId w:val="18"/>
  </w:num>
  <w:num w:numId="18">
    <w:abstractNumId w:val="0"/>
  </w:num>
  <w:num w:numId="19">
    <w:abstractNumId w:val="25"/>
  </w:num>
  <w:num w:numId="20">
    <w:abstractNumId w:val="5"/>
  </w:num>
  <w:num w:numId="21">
    <w:abstractNumId w:val="8"/>
  </w:num>
  <w:num w:numId="22">
    <w:abstractNumId w:val="7"/>
  </w:num>
  <w:num w:numId="23">
    <w:abstractNumId w:val="16"/>
  </w:num>
  <w:num w:numId="24">
    <w:abstractNumId w:val="10"/>
  </w:num>
  <w:num w:numId="25">
    <w:abstractNumId w:val="12"/>
  </w:num>
  <w:num w:numId="26">
    <w:abstractNumId w:val="27"/>
  </w:num>
  <w:num w:numId="27">
    <w:abstractNumId w:val="9"/>
  </w:num>
  <w:num w:numId="28">
    <w:abstractNumId w:val="30"/>
  </w:num>
  <w:num w:numId="29">
    <w:abstractNumId w:val="23"/>
  </w:num>
  <w:num w:numId="30">
    <w:abstractNumId w:val="29"/>
  </w:num>
  <w:num w:numId="31">
    <w:abstractNumId w:val="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otal_Editing_Time" w:val="1"/>
  </w:docVars>
  <w:rsids>
    <w:rsidRoot w:val="00AA6792"/>
    <w:rsid w:val="00030466"/>
    <w:rsid w:val="001911C1"/>
    <w:rsid w:val="0020116D"/>
    <w:rsid w:val="00224048"/>
    <w:rsid w:val="002318CA"/>
    <w:rsid w:val="0024724F"/>
    <w:rsid w:val="002A4AAA"/>
    <w:rsid w:val="003A6DFE"/>
    <w:rsid w:val="003B54A6"/>
    <w:rsid w:val="0040582C"/>
    <w:rsid w:val="004760BD"/>
    <w:rsid w:val="004835B5"/>
    <w:rsid w:val="004929EC"/>
    <w:rsid w:val="005827AC"/>
    <w:rsid w:val="00584FD4"/>
    <w:rsid w:val="00591422"/>
    <w:rsid w:val="00594F28"/>
    <w:rsid w:val="00680A7B"/>
    <w:rsid w:val="006E004B"/>
    <w:rsid w:val="006F0CC4"/>
    <w:rsid w:val="00700584"/>
    <w:rsid w:val="007D2B1E"/>
    <w:rsid w:val="007D4CAA"/>
    <w:rsid w:val="008847A5"/>
    <w:rsid w:val="00964B72"/>
    <w:rsid w:val="009840B8"/>
    <w:rsid w:val="00A038C9"/>
    <w:rsid w:val="00AA6792"/>
    <w:rsid w:val="00AF75FB"/>
    <w:rsid w:val="00B12B46"/>
    <w:rsid w:val="00C47A2E"/>
    <w:rsid w:val="00E95868"/>
    <w:rsid w:val="00EF202B"/>
    <w:rsid w:val="00F03B4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40BE1"/>
  <w15:docId w15:val="{47A0C1EF-4692-4509-AC56-462606FC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792"/>
  </w:style>
  <w:style w:type="paragraph" w:styleId="Titre1">
    <w:name w:val="heading 1"/>
    <w:basedOn w:val="Normal"/>
    <w:next w:val="Normal"/>
    <w:link w:val="Titre1Car"/>
    <w:uiPriority w:val="9"/>
    <w:qFormat/>
    <w:rsid w:val="00EF20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3">
    <w:name w:val="heading 3"/>
    <w:basedOn w:val="Normal"/>
    <w:next w:val="Normal"/>
    <w:link w:val="Titre3Car"/>
    <w:uiPriority w:val="9"/>
    <w:unhideWhenUsed/>
    <w:qFormat/>
    <w:rsid w:val="00AA6792"/>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A6792"/>
    <w:rPr>
      <w:rFonts w:asciiTheme="majorHAnsi" w:eastAsiaTheme="majorEastAsia" w:hAnsiTheme="majorHAnsi" w:cstheme="majorBidi"/>
      <w:b/>
      <w:bCs/>
      <w:color w:val="4F81BD" w:themeColor="accent1"/>
    </w:rPr>
  </w:style>
  <w:style w:type="paragraph" w:styleId="Paragraphedeliste">
    <w:name w:val="List Paragraph"/>
    <w:basedOn w:val="Normal"/>
    <w:link w:val="ParagraphedelisteCar"/>
    <w:uiPriority w:val="34"/>
    <w:qFormat/>
    <w:rsid w:val="00AA6792"/>
    <w:pPr>
      <w:ind w:left="720"/>
      <w:contextualSpacing/>
      <w:jc w:val="both"/>
    </w:pPr>
    <w:rPr>
      <w:rFonts w:ascii="Arial" w:eastAsia="Arial" w:hAnsi="Arial" w:cs="Arial"/>
      <w:color w:val="000000"/>
      <w:sz w:val="22"/>
      <w:szCs w:val="22"/>
    </w:rPr>
  </w:style>
  <w:style w:type="character" w:customStyle="1" w:styleId="ParagraphedelisteCar">
    <w:name w:val="Paragraphe de liste Car"/>
    <w:link w:val="Paragraphedeliste"/>
    <w:uiPriority w:val="34"/>
    <w:rsid w:val="00AA6792"/>
    <w:rPr>
      <w:rFonts w:ascii="Arial" w:eastAsia="Arial" w:hAnsi="Arial" w:cs="Arial"/>
      <w:color w:val="000000"/>
      <w:sz w:val="22"/>
      <w:szCs w:val="22"/>
    </w:rPr>
  </w:style>
  <w:style w:type="paragraph" w:styleId="Commentaire">
    <w:name w:val="annotation text"/>
    <w:basedOn w:val="Normal"/>
    <w:link w:val="CommentaireCar"/>
    <w:uiPriority w:val="99"/>
    <w:rsid w:val="00AA6792"/>
    <w:pPr>
      <w:spacing w:line="276" w:lineRule="auto"/>
      <w:jc w:val="both"/>
    </w:pPr>
    <w:rPr>
      <w:rFonts w:ascii="Arial" w:eastAsia="Times New Roman" w:hAnsi="Arial" w:cs="Times New Roman"/>
      <w:sz w:val="20"/>
      <w:szCs w:val="20"/>
      <w:lang w:val="en-GB" w:eastAsia="en-GB"/>
    </w:rPr>
  </w:style>
  <w:style w:type="character" w:customStyle="1" w:styleId="CommentaireCar">
    <w:name w:val="Commentaire Car"/>
    <w:basedOn w:val="Policepardfaut"/>
    <w:link w:val="Commentaire"/>
    <w:uiPriority w:val="99"/>
    <w:rsid w:val="00AA6792"/>
    <w:rPr>
      <w:rFonts w:ascii="Arial" w:eastAsia="Times New Roman" w:hAnsi="Arial" w:cs="Times New Roman"/>
      <w:sz w:val="20"/>
      <w:szCs w:val="20"/>
      <w:lang w:val="en-GB" w:eastAsia="en-GB"/>
    </w:rPr>
  </w:style>
  <w:style w:type="paragraph" w:styleId="Textedebulles">
    <w:name w:val="Balloon Text"/>
    <w:basedOn w:val="Normal"/>
    <w:link w:val="TextedebullesCar"/>
    <w:uiPriority w:val="99"/>
    <w:semiHidden/>
    <w:unhideWhenUsed/>
    <w:rsid w:val="00AA679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A6792"/>
    <w:rPr>
      <w:rFonts w:ascii="Lucida Grande" w:hAnsi="Lucida Grande" w:cs="Lucida Grande"/>
      <w:sz w:val="18"/>
      <w:szCs w:val="18"/>
    </w:rPr>
  </w:style>
  <w:style w:type="table" w:styleId="Grilledutableau">
    <w:name w:val="Table Grid"/>
    <w:basedOn w:val="TableauNormal"/>
    <w:uiPriority w:val="59"/>
    <w:rsid w:val="009840B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30466"/>
    <w:rPr>
      <w:sz w:val="16"/>
      <w:szCs w:val="16"/>
    </w:rPr>
  </w:style>
  <w:style w:type="character" w:customStyle="1" w:styleId="left1">
    <w:name w:val="left1"/>
    <w:basedOn w:val="Policepardfaut"/>
    <w:uiPriority w:val="99"/>
    <w:rsid w:val="008847A5"/>
  </w:style>
  <w:style w:type="character" w:customStyle="1" w:styleId="Titre1Car">
    <w:name w:val="Titre 1 Car"/>
    <w:basedOn w:val="Policepardfaut"/>
    <w:link w:val="Titre1"/>
    <w:uiPriority w:val="9"/>
    <w:rsid w:val="00EF202B"/>
    <w:rPr>
      <w:rFonts w:asciiTheme="majorHAnsi" w:eastAsiaTheme="majorEastAsia" w:hAnsiTheme="majorHAnsi" w:cstheme="majorBidi"/>
      <w:b/>
      <w:bCs/>
      <w:color w:val="345A8A" w:themeColor="accent1" w:themeShade="B5"/>
      <w:sz w:val="32"/>
      <w:szCs w:val="32"/>
    </w:rPr>
  </w:style>
  <w:style w:type="character" w:styleId="Lienhypertexte">
    <w:name w:val="Hyperlink"/>
    <w:basedOn w:val="Policepardfaut"/>
    <w:uiPriority w:val="99"/>
    <w:semiHidden/>
    <w:unhideWhenUsed/>
    <w:rsid w:val="00582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638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4026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legrand</dc:creator>
  <cp:keywords/>
  <dc:description/>
  <cp:lastModifiedBy>Erwan BOZEC</cp:lastModifiedBy>
  <cp:revision>2</cp:revision>
  <dcterms:created xsi:type="dcterms:W3CDTF">2022-08-30T08:44:00Z</dcterms:created>
  <dcterms:modified xsi:type="dcterms:W3CDTF">2022-08-30T08:44:00Z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zotero-version="4.0.28.8"&gt;&lt;session id="ajYfnAhK"/&gt;&lt;style id="http://www.zotero.org/styles/anaesthesia-critical-care-and-pain-medicine" hasBibliography="1" bibliographyStyleHasBeenSet="0"/&gt;&lt;prefs&gt;&lt;pref name="fieldType" value="Field"/</vt:lpwstr>
  </property>
  <property fmtid="{D5CDD505-2E9C-101B-9397-08002B2CF9AE}" pid="3" name="ZOTERO_PREF_2">
    <vt:lpwstr>&gt;&lt;pref name="storeReferences" value="true"/&gt;&lt;pref name="automaticJournalAbbreviations" value="true"/&gt;&lt;pref name="noteType" value=""/&gt;&lt;/prefs&gt;&lt;/data&gt;</vt:lpwstr>
  </property>
</Properties>
</file>