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A2BF" w14:textId="333DECA8" w:rsidR="005345FD" w:rsidRDefault="00ED0036" w:rsidP="005345FD">
      <w:pPr>
        <w:spacing w:line="340" w:lineRule="exact"/>
        <w:jc w:val="center"/>
        <w:rPr>
          <w:rFonts w:ascii="Arial" w:hAnsi="Arial" w:cs="Arial"/>
        </w:rPr>
      </w:pPr>
      <w:r w:rsidRPr="007F3121">
        <w:rPr>
          <w:rFonts w:ascii="Arial" w:hAnsi="Arial" w:cs="Arial"/>
        </w:rPr>
        <w:t>P</w:t>
      </w:r>
      <w:r w:rsidR="00EC6366" w:rsidRPr="007F3121">
        <w:rPr>
          <w:rFonts w:ascii="Arial" w:hAnsi="Arial" w:cs="Arial"/>
        </w:rPr>
        <w:t xml:space="preserve">ropos conclusif, </w:t>
      </w:r>
      <w:r w:rsidR="00421CAB">
        <w:rPr>
          <w:rFonts w:ascii="Arial" w:hAnsi="Arial" w:cs="Arial"/>
        </w:rPr>
        <w:t xml:space="preserve">proposition de </w:t>
      </w:r>
      <w:r w:rsidR="005345FD">
        <w:rPr>
          <w:rFonts w:ascii="Arial" w:hAnsi="Arial" w:cs="Arial"/>
        </w:rPr>
        <w:t>relecture théorico-pratique de la question de</w:t>
      </w:r>
    </w:p>
    <w:p w14:paraId="6F4B71F2" w14:textId="75902490" w:rsidR="00085044" w:rsidRPr="007F3121" w:rsidRDefault="00EC6366" w:rsidP="005345FD">
      <w:pPr>
        <w:spacing w:line="340" w:lineRule="exact"/>
        <w:jc w:val="center"/>
        <w:rPr>
          <w:rFonts w:ascii="Arial" w:hAnsi="Arial" w:cs="Arial"/>
        </w:rPr>
      </w:pPr>
      <w:r w:rsidRPr="007F3121">
        <w:rPr>
          <w:rFonts w:ascii="Arial" w:hAnsi="Arial" w:cs="Arial"/>
        </w:rPr>
        <w:t xml:space="preserve"> </w:t>
      </w:r>
      <w:proofErr w:type="gramStart"/>
      <w:r w:rsidRPr="007F3121">
        <w:rPr>
          <w:rFonts w:ascii="Arial" w:hAnsi="Arial" w:cs="Arial"/>
        </w:rPr>
        <w:t>l</w:t>
      </w:r>
      <w:r w:rsidR="00515EA3" w:rsidRPr="007F3121">
        <w:rPr>
          <w:rFonts w:ascii="Arial" w:hAnsi="Arial" w:cs="Arial"/>
        </w:rPr>
        <w:t>’autorité</w:t>
      </w:r>
      <w:proofErr w:type="gramEnd"/>
      <w:r w:rsidR="00515EA3" w:rsidRPr="007F3121">
        <w:rPr>
          <w:rFonts w:ascii="Arial" w:hAnsi="Arial" w:cs="Arial"/>
        </w:rPr>
        <w:t xml:space="preserve"> de l</w:t>
      </w:r>
      <w:r w:rsidRPr="007F3121">
        <w:rPr>
          <w:rFonts w:ascii="Arial" w:hAnsi="Arial" w:cs="Arial"/>
        </w:rPr>
        <w:t>a jurisprudence de la Cour européenne des droits de l’homme.</w:t>
      </w:r>
    </w:p>
    <w:p w14:paraId="33F3E470" w14:textId="0D514E7F" w:rsidR="00EC6366" w:rsidRDefault="00EC6366" w:rsidP="00085044">
      <w:pPr>
        <w:spacing w:line="340" w:lineRule="exact"/>
        <w:rPr>
          <w:rFonts w:ascii="Garamond" w:hAnsi="Garamond"/>
        </w:rPr>
      </w:pPr>
    </w:p>
    <w:p w14:paraId="1DACA165" w14:textId="77777777" w:rsidR="007F3121" w:rsidRDefault="007F3121" w:rsidP="007F3121">
      <w:pPr>
        <w:pStyle w:val="NormalWeb"/>
        <w:spacing w:line="340" w:lineRule="exact"/>
        <w:jc w:val="center"/>
        <w:rPr>
          <w:rFonts w:ascii="Garamond" w:hAnsi="Garamond"/>
          <w:color w:val="000007"/>
        </w:rPr>
      </w:pPr>
      <w:r>
        <w:rPr>
          <w:rFonts w:ascii="Garamond" w:hAnsi="Garamond"/>
          <w:color w:val="000007"/>
        </w:rPr>
        <w:t xml:space="preserve">Xavier </w:t>
      </w:r>
      <w:proofErr w:type="spellStart"/>
      <w:r w:rsidRPr="003324F1">
        <w:rPr>
          <w:rFonts w:ascii="Garamond" w:hAnsi="Garamond"/>
          <w:smallCaps/>
          <w:color w:val="000007"/>
        </w:rPr>
        <w:t>Magnon</w:t>
      </w:r>
      <w:proofErr w:type="spellEnd"/>
    </w:p>
    <w:p w14:paraId="02B87005" w14:textId="77777777" w:rsidR="007F3121" w:rsidRDefault="007F3121" w:rsidP="007F3121">
      <w:pPr>
        <w:pStyle w:val="NormalWeb"/>
        <w:spacing w:line="340" w:lineRule="exact"/>
        <w:jc w:val="center"/>
        <w:rPr>
          <w:rFonts w:ascii="Garamond" w:hAnsi="Garamond"/>
          <w:color w:val="000007"/>
        </w:rPr>
      </w:pPr>
      <w:r>
        <w:rPr>
          <w:rFonts w:ascii="Garamond" w:hAnsi="Garamond"/>
          <w:color w:val="000007"/>
        </w:rPr>
        <w:t>Professeur de droit public</w:t>
      </w:r>
    </w:p>
    <w:p w14:paraId="78AE1880" w14:textId="3BD8ED59" w:rsidR="007F3121" w:rsidRDefault="007F3121" w:rsidP="007F3121">
      <w:pPr>
        <w:pStyle w:val="NormalWeb"/>
        <w:spacing w:line="340" w:lineRule="exact"/>
        <w:jc w:val="center"/>
        <w:rPr>
          <w:rFonts w:ascii="Garamond" w:hAnsi="Garamond"/>
        </w:rPr>
      </w:pPr>
      <w:r w:rsidRPr="003324F1">
        <w:rPr>
          <w:rFonts w:ascii="Garamond" w:hAnsi="Garamond"/>
        </w:rPr>
        <w:t>Aix Marseille Univ, Université de Toulon, Univ Pau &amp; Pays Adour,</w:t>
      </w:r>
    </w:p>
    <w:p w14:paraId="033D1D28" w14:textId="49EED88B" w:rsidR="007F3121" w:rsidRDefault="007F3121" w:rsidP="007F3121">
      <w:pPr>
        <w:spacing w:line="340" w:lineRule="exact"/>
        <w:jc w:val="center"/>
        <w:rPr>
          <w:rFonts w:ascii="Garamond" w:hAnsi="Garamond"/>
        </w:rPr>
      </w:pPr>
      <w:r w:rsidRPr="003324F1">
        <w:rPr>
          <w:rFonts w:ascii="Garamond" w:hAnsi="Garamond"/>
        </w:rPr>
        <w:t>CNRS, DICE, ILF, Aix-en-Provence, France</w:t>
      </w:r>
    </w:p>
    <w:p w14:paraId="0246FD50" w14:textId="77777777" w:rsidR="007F3121" w:rsidRDefault="007F3121" w:rsidP="00085044">
      <w:pPr>
        <w:spacing w:line="340" w:lineRule="exact"/>
        <w:rPr>
          <w:rFonts w:ascii="Garamond" w:hAnsi="Garamond"/>
        </w:rPr>
      </w:pPr>
    </w:p>
    <w:p w14:paraId="70C0F12F" w14:textId="08764AF3" w:rsidR="00ED0036" w:rsidRDefault="005F0F47" w:rsidP="0027498F">
      <w:pPr>
        <w:spacing w:line="340" w:lineRule="exact"/>
        <w:jc w:val="both"/>
        <w:rPr>
          <w:rFonts w:ascii="Garamond" w:hAnsi="Garamond"/>
        </w:rPr>
      </w:pPr>
      <w:r>
        <w:rPr>
          <w:rFonts w:ascii="Garamond" w:hAnsi="Garamond"/>
        </w:rPr>
        <w:t xml:space="preserve">Quand la science du droit ne peut plus décrire de manière cohérente certains phénomènes dans la pratique du droit, c’est que des enjeux de pouvoir dominent. Ce qui </w:t>
      </w:r>
      <w:proofErr w:type="spellStart"/>
      <w:r w:rsidRPr="00C64FA8">
        <w:rPr>
          <w:rFonts w:ascii="Garamond" w:hAnsi="Garamond"/>
          <w:i/>
          <w:iCs/>
        </w:rPr>
        <w:t>est</w:t>
      </w:r>
      <w:proofErr w:type="spellEnd"/>
      <w:r>
        <w:rPr>
          <w:rFonts w:ascii="Garamond" w:hAnsi="Garamond"/>
        </w:rPr>
        <w:t xml:space="preserve"> s’impose face à ce qui </w:t>
      </w:r>
      <w:r w:rsidRPr="00C64FA8">
        <w:rPr>
          <w:rFonts w:ascii="Garamond" w:hAnsi="Garamond"/>
          <w:i/>
          <w:iCs/>
        </w:rPr>
        <w:t>doit être</w:t>
      </w:r>
      <w:r>
        <w:rPr>
          <w:rFonts w:ascii="Garamond" w:hAnsi="Garamond"/>
        </w:rPr>
        <w:t xml:space="preserve"> et l’on quitte le rapport de droit pour embrasser le rapport de pouvoir.</w:t>
      </w:r>
      <w:r w:rsidR="00C64FA8">
        <w:rPr>
          <w:rFonts w:ascii="Garamond" w:hAnsi="Garamond"/>
        </w:rPr>
        <w:t xml:space="preserve"> </w:t>
      </w:r>
      <w:r w:rsidR="00350E66">
        <w:rPr>
          <w:rFonts w:ascii="Garamond" w:hAnsi="Garamond"/>
        </w:rPr>
        <w:t>Celui-ci</w:t>
      </w:r>
      <w:r w:rsidR="00C64FA8">
        <w:rPr>
          <w:rFonts w:ascii="Garamond" w:hAnsi="Garamond"/>
        </w:rPr>
        <w:t xml:space="preserve"> renvoie à un rapport de force et c’est</w:t>
      </w:r>
      <w:r w:rsidR="00ED0036">
        <w:rPr>
          <w:rFonts w:ascii="Garamond" w:hAnsi="Garamond"/>
        </w:rPr>
        <w:t>, peut-être,</w:t>
      </w:r>
      <w:r w:rsidR="00C64FA8">
        <w:rPr>
          <w:rFonts w:ascii="Garamond" w:hAnsi="Garamond"/>
        </w:rPr>
        <w:t xml:space="preserve"> ce</w:t>
      </w:r>
      <w:r w:rsidR="00350E66">
        <w:rPr>
          <w:rFonts w:ascii="Garamond" w:hAnsi="Garamond"/>
        </w:rPr>
        <w:t xml:space="preserve"> dernier</w:t>
      </w:r>
      <w:r w:rsidR="00C64FA8">
        <w:rPr>
          <w:rFonts w:ascii="Garamond" w:hAnsi="Garamond"/>
        </w:rPr>
        <w:t xml:space="preserve"> qui paraît le plus adapté à la description des rapports de systèmes. </w:t>
      </w:r>
    </w:p>
    <w:p w14:paraId="2EB19AFE" w14:textId="77777777" w:rsidR="00ED0036" w:rsidRDefault="00ED0036" w:rsidP="0027498F">
      <w:pPr>
        <w:spacing w:line="340" w:lineRule="exact"/>
        <w:jc w:val="both"/>
        <w:rPr>
          <w:rFonts w:ascii="Garamond" w:hAnsi="Garamond"/>
        </w:rPr>
      </w:pPr>
    </w:p>
    <w:p w14:paraId="6F9620D3" w14:textId="0C16432E" w:rsidR="00350E66" w:rsidRDefault="005F0F47" w:rsidP="0027498F">
      <w:pPr>
        <w:spacing w:line="340" w:lineRule="exact"/>
        <w:jc w:val="both"/>
        <w:rPr>
          <w:rFonts w:ascii="Garamond" w:hAnsi="Garamond"/>
        </w:rPr>
      </w:pPr>
      <w:r>
        <w:rPr>
          <w:rFonts w:ascii="Garamond" w:hAnsi="Garamond"/>
        </w:rPr>
        <w:t xml:space="preserve">Telle est la lecture qui, après des années de recherches sur le sujet, me semble devoir s’imposer lorsqu’il est question de rapport de systèmes. </w:t>
      </w:r>
      <w:r w:rsidR="00350E66">
        <w:rPr>
          <w:rFonts w:ascii="Garamond" w:hAnsi="Garamond"/>
        </w:rPr>
        <w:t>L’appréhension cohérente de ces rapports de système</w:t>
      </w:r>
      <w:r w:rsidR="007F3121">
        <w:rPr>
          <w:rFonts w:ascii="Garamond" w:hAnsi="Garamond"/>
        </w:rPr>
        <w:t>s</w:t>
      </w:r>
      <w:r w:rsidR="00350E66">
        <w:rPr>
          <w:rFonts w:ascii="Garamond" w:hAnsi="Garamond"/>
        </w:rPr>
        <w:t xml:space="preserve"> </w:t>
      </w:r>
      <w:r>
        <w:rPr>
          <w:rFonts w:ascii="Garamond" w:hAnsi="Garamond"/>
        </w:rPr>
        <w:t xml:space="preserve">ne saurait être </w:t>
      </w:r>
      <w:r w:rsidR="00350E66">
        <w:rPr>
          <w:rFonts w:ascii="Garamond" w:hAnsi="Garamond"/>
        </w:rPr>
        <w:t>entreprise</w:t>
      </w:r>
      <w:r>
        <w:rPr>
          <w:rFonts w:ascii="Garamond" w:hAnsi="Garamond"/>
        </w:rPr>
        <w:t xml:space="preserve"> </w:t>
      </w:r>
      <w:r w:rsidR="00350E66">
        <w:rPr>
          <w:rFonts w:ascii="Garamond" w:hAnsi="Garamond"/>
        </w:rPr>
        <w:t>à partir de l’application</w:t>
      </w:r>
      <w:r>
        <w:rPr>
          <w:rFonts w:ascii="Garamond" w:hAnsi="Garamond"/>
        </w:rPr>
        <w:t xml:space="preserve"> </w:t>
      </w:r>
      <w:r w:rsidR="00350E66">
        <w:rPr>
          <w:rFonts w:ascii="Garamond" w:hAnsi="Garamond"/>
        </w:rPr>
        <w:t>d</w:t>
      </w:r>
      <w:r>
        <w:rPr>
          <w:rFonts w:ascii="Garamond" w:hAnsi="Garamond"/>
        </w:rPr>
        <w:t>es normes</w:t>
      </w:r>
      <w:r w:rsidR="00350E66">
        <w:rPr>
          <w:rFonts w:ascii="Garamond" w:hAnsi="Garamond"/>
        </w:rPr>
        <w:t xml:space="preserve"> juridiques</w:t>
      </w:r>
      <w:r>
        <w:rPr>
          <w:rFonts w:ascii="Garamond" w:hAnsi="Garamond"/>
        </w:rPr>
        <w:t>, les normes constitutionnelles ou leur interprétation par les juges nationaux étant parfois contradictoire</w:t>
      </w:r>
      <w:r w:rsidR="00515EA3">
        <w:rPr>
          <w:rFonts w:ascii="Garamond" w:hAnsi="Garamond"/>
        </w:rPr>
        <w:t>s</w:t>
      </w:r>
      <w:r>
        <w:rPr>
          <w:rFonts w:ascii="Garamond" w:hAnsi="Garamond"/>
        </w:rPr>
        <w:t xml:space="preserve"> avec les normes internationales et européennes, mais</w:t>
      </w:r>
      <w:r w:rsidR="00BC4D6B">
        <w:rPr>
          <w:rFonts w:ascii="Garamond" w:hAnsi="Garamond"/>
        </w:rPr>
        <w:t>, de manière scientifique,</w:t>
      </w:r>
      <w:r>
        <w:rPr>
          <w:rFonts w:ascii="Garamond" w:hAnsi="Garamond"/>
        </w:rPr>
        <w:t xml:space="preserve"> par des conceptions théoriques</w:t>
      </w:r>
      <w:r w:rsidR="008D0083">
        <w:rPr>
          <w:rStyle w:val="Appelnotedebasdep"/>
          <w:rFonts w:ascii="Garamond" w:hAnsi="Garamond"/>
        </w:rPr>
        <w:footnoteReference w:id="1"/>
      </w:r>
      <w:r w:rsidR="00BC4D6B">
        <w:rPr>
          <w:rFonts w:ascii="Garamond" w:hAnsi="Garamond"/>
        </w:rPr>
        <w:t xml:space="preserve"> ou, et c’est ce dernier angle que nous allons éprouver, </w:t>
      </w:r>
      <w:r w:rsidR="00C64FA8">
        <w:rPr>
          <w:rFonts w:ascii="Garamond" w:hAnsi="Garamond"/>
        </w:rPr>
        <w:t>en termes de pouvoirs, à partir d’un rapport de force. Plus précisément, les rapports qu’entretiennent les juges nationaux avec tout système supranational, comme le système issu de la Convention européenne des droits de l’homme, sont le fruit de choix politiques</w:t>
      </w:r>
      <w:r w:rsidR="00ED0036">
        <w:rPr>
          <w:rFonts w:ascii="Garamond" w:hAnsi="Garamond"/>
        </w:rPr>
        <w:t>,</w:t>
      </w:r>
      <w:r w:rsidR="00C64FA8">
        <w:rPr>
          <w:rFonts w:ascii="Garamond" w:hAnsi="Garamond"/>
        </w:rPr>
        <w:t xml:space="preserve"> </w:t>
      </w:r>
      <w:r w:rsidR="00ED0036">
        <w:rPr>
          <w:rFonts w:ascii="Garamond" w:hAnsi="Garamond"/>
        </w:rPr>
        <w:t xml:space="preserve">et même, idéologique, </w:t>
      </w:r>
      <w:r w:rsidR="00C64FA8">
        <w:rPr>
          <w:rFonts w:ascii="Garamond" w:hAnsi="Garamond"/>
        </w:rPr>
        <w:t>des juges, certains diraient</w:t>
      </w:r>
      <w:r w:rsidR="0027498F">
        <w:rPr>
          <w:rFonts w:ascii="Garamond" w:hAnsi="Garamond"/>
        </w:rPr>
        <w:t>,</w:t>
      </w:r>
      <w:r w:rsidR="00C64FA8">
        <w:rPr>
          <w:rFonts w:ascii="Garamond" w:hAnsi="Garamond"/>
        </w:rPr>
        <w:t xml:space="preserve"> toutefois</w:t>
      </w:r>
      <w:r w:rsidR="0027498F">
        <w:rPr>
          <w:rFonts w:ascii="Garamond" w:hAnsi="Garamond"/>
        </w:rPr>
        <w:t>,</w:t>
      </w:r>
      <w:r w:rsidR="00C64FA8">
        <w:rPr>
          <w:rFonts w:ascii="Garamond" w:hAnsi="Garamond"/>
        </w:rPr>
        <w:t xml:space="preserve"> des choix discrétionnaires, c’est-à-dire couverts par les possibles offerts par les normes, </w:t>
      </w:r>
      <w:r w:rsidR="0027498F">
        <w:rPr>
          <w:rFonts w:ascii="Garamond" w:hAnsi="Garamond"/>
        </w:rPr>
        <w:t>qui résultent d’</w:t>
      </w:r>
      <w:r w:rsidR="00ED0036">
        <w:rPr>
          <w:rFonts w:ascii="Garamond" w:hAnsi="Garamond"/>
        </w:rPr>
        <w:t xml:space="preserve">un </w:t>
      </w:r>
      <w:r w:rsidR="0027498F">
        <w:rPr>
          <w:rFonts w:ascii="Garamond" w:hAnsi="Garamond"/>
        </w:rPr>
        <w:t>équilibre entre</w:t>
      </w:r>
      <w:r w:rsidR="00ED0036">
        <w:rPr>
          <w:rFonts w:ascii="Garamond" w:hAnsi="Garamond"/>
        </w:rPr>
        <w:t>, d’une part,</w:t>
      </w:r>
      <w:r w:rsidR="0027498F">
        <w:rPr>
          <w:rFonts w:ascii="Garamond" w:hAnsi="Garamond"/>
        </w:rPr>
        <w:t xml:space="preserve"> une volonté de préserver la Constitution nationale et</w:t>
      </w:r>
      <w:r w:rsidR="00ED0036">
        <w:rPr>
          <w:rFonts w:ascii="Garamond" w:hAnsi="Garamond"/>
        </w:rPr>
        <w:t>, d’autre part,</w:t>
      </w:r>
      <w:r w:rsidR="0027498F">
        <w:rPr>
          <w:rFonts w:ascii="Garamond" w:hAnsi="Garamond"/>
        </w:rPr>
        <w:t xml:space="preserve"> une soumission relative aux exigences supranationales</w:t>
      </w:r>
      <w:r w:rsidR="00481557">
        <w:rPr>
          <w:rFonts w:ascii="Garamond" w:hAnsi="Garamond"/>
        </w:rPr>
        <w:t xml:space="preserve"> </w:t>
      </w:r>
      <w:r w:rsidR="00ED0036">
        <w:rPr>
          <w:rFonts w:ascii="Garamond" w:hAnsi="Garamond"/>
        </w:rPr>
        <w:t>liée au</w:t>
      </w:r>
      <w:r w:rsidR="00481557">
        <w:rPr>
          <w:rFonts w:ascii="Garamond" w:hAnsi="Garamond"/>
        </w:rPr>
        <w:t xml:space="preserve"> risque d’être désavouer par une juridiction supranationale. </w:t>
      </w:r>
      <w:r w:rsidR="00ED0036">
        <w:rPr>
          <w:rFonts w:ascii="Garamond" w:hAnsi="Garamond"/>
        </w:rPr>
        <w:t xml:space="preserve">Cet </w:t>
      </w:r>
      <w:r w:rsidR="00481557">
        <w:rPr>
          <w:rFonts w:ascii="Garamond" w:hAnsi="Garamond"/>
        </w:rPr>
        <w:t xml:space="preserve">équilibre semble </w:t>
      </w:r>
      <w:r w:rsidR="00ED0036">
        <w:rPr>
          <w:rFonts w:ascii="Garamond" w:hAnsi="Garamond"/>
        </w:rPr>
        <w:t xml:space="preserve">en effet </w:t>
      </w:r>
      <w:r w:rsidR="00481557">
        <w:rPr>
          <w:rFonts w:ascii="Garamond" w:hAnsi="Garamond"/>
        </w:rPr>
        <w:t xml:space="preserve">se dégager de l’attitude des juridictions nationales vis-à-vis des normes supranationales, les normes mobilisées à l’appui de cet équilibre n’étant qu’un prétexte pour parvenir à telle ou telle solution. </w:t>
      </w:r>
    </w:p>
    <w:p w14:paraId="40F7EA32" w14:textId="77777777" w:rsidR="00350E66" w:rsidRDefault="00350E66" w:rsidP="0027498F">
      <w:pPr>
        <w:spacing w:line="340" w:lineRule="exact"/>
        <w:jc w:val="both"/>
        <w:rPr>
          <w:rFonts w:ascii="Garamond" w:hAnsi="Garamond"/>
        </w:rPr>
      </w:pPr>
    </w:p>
    <w:p w14:paraId="31B17B6D" w14:textId="6DA64920" w:rsidR="00EF0BD9" w:rsidRDefault="00481557" w:rsidP="0027498F">
      <w:pPr>
        <w:spacing w:line="340" w:lineRule="exact"/>
        <w:jc w:val="both"/>
        <w:rPr>
          <w:rFonts w:ascii="Garamond" w:hAnsi="Garamond"/>
        </w:rPr>
      </w:pPr>
      <w:r>
        <w:rPr>
          <w:rFonts w:ascii="Garamond" w:hAnsi="Garamond"/>
        </w:rPr>
        <w:t xml:space="preserve">Il faut se souvenir à cet égard de ce que les arrêts </w:t>
      </w:r>
      <w:r w:rsidRPr="00ED0036">
        <w:rPr>
          <w:rFonts w:ascii="Garamond" w:hAnsi="Garamond"/>
          <w:i/>
          <w:iCs/>
        </w:rPr>
        <w:t>Costa</w:t>
      </w:r>
      <w:r w:rsidR="00ED0036" w:rsidRPr="00ED0036">
        <w:rPr>
          <w:rStyle w:val="Appelnotedebasdep"/>
          <w:rFonts w:ascii="Garamond" w:hAnsi="Garamond"/>
        </w:rPr>
        <w:footnoteReference w:id="2"/>
      </w:r>
      <w:r w:rsidRPr="00ED0036">
        <w:rPr>
          <w:rFonts w:ascii="Garamond" w:hAnsi="Garamond"/>
          <w:i/>
          <w:iCs/>
        </w:rPr>
        <w:t xml:space="preserve"> </w:t>
      </w:r>
      <w:r>
        <w:rPr>
          <w:rFonts w:ascii="Garamond" w:hAnsi="Garamond"/>
        </w:rPr>
        <w:t xml:space="preserve">ou </w:t>
      </w:r>
      <w:r w:rsidRPr="00ED0036">
        <w:rPr>
          <w:rFonts w:ascii="Garamond" w:hAnsi="Garamond"/>
          <w:i/>
          <w:iCs/>
        </w:rPr>
        <w:t>Simmenthal</w:t>
      </w:r>
      <w:r w:rsidR="00ED0036" w:rsidRPr="00ED0036">
        <w:rPr>
          <w:rStyle w:val="Appelnotedebasdep"/>
          <w:rFonts w:ascii="Garamond" w:hAnsi="Garamond"/>
        </w:rPr>
        <w:footnoteReference w:id="3"/>
      </w:r>
      <w:r w:rsidRPr="00ED0036">
        <w:rPr>
          <w:rFonts w:ascii="Garamond" w:hAnsi="Garamond"/>
          <w:i/>
          <w:iCs/>
        </w:rPr>
        <w:t xml:space="preserve"> </w:t>
      </w:r>
      <w:r w:rsidR="00ED0036">
        <w:rPr>
          <w:rFonts w:ascii="Garamond" w:hAnsi="Garamond"/>
        </w:rPr>
        <w:t xml:space="preserve">de la Cour de justice, qui était alors Cour de justice des Communautés européennes, </w:t>
      </w:r>
      <w:r>
        <w:rPr>
          <w:rFonts w:ascii="Garamond" w:hAnsi="Garamond"/>
        </w:rPr>
        <w:t>ne sont que le fruit de conflits entre la Cour de justice et la Cour constitutionnelle</w:t>
      </w:r>
      <w:r w:rsidR="00ED0036">
        <w:rPr>
          <w:rFonts w:ascii="Garamond" w:hAnsi="Garamond"/>
        </w:rPr>
        <w:t xml:space="preserve"> italienne</w:t>
      </w:r>
      <w:r>
        <w:rPr>
          <w:rFonts w:ascii="Garamond" w:hAnsi="Garamond"/>
        </w:rPr>
        <w:t>, notamment quant à la compétence de cette dernière pour sanctionner de manière exclusive la conformité des loi</w:t>
      </w:r>
      <w:r w:rsidR="00A83668">
        <w:rPr>
          <w:rFonts w:ascii="Garamond" w:hAnsi="Garamond"/>
        </w:rPr>
        <w:t>s</w:t>
      </w:r>
      <w:r>
        <w:rPr>
          <w:rFonts w:ascii="Garamond" w:hAnsi="Garamond"/>
        </w:rPr>
        <w:t xml:space="preserve"> au droit communautaire, alors, </w:t>
      </w:r>
      <w:r w:rsidR="00ED0036">
        <w:rPr>
          <w:rFonts w:ascii="Garamond" w:hAnsi="Garamond"/>
        </w:rPr>
        <w:t>ayant pour origine</w:t>
      </w:r>
      <w:r>
        <w:rPr>
          <w:rFonts w:ascii="Garamond" w:hAnsi="Garamond"/>
        </w:rPr>
        <w:t xml:space="preserve"> </w:t>
      </w:r>
      <w:r w:rsidR="00ED0036">
        <w:rPr>
          <w:rFonts w:ascii="Garamond" w:hAnsi="Garamond"/>
        </w:rPr>
        <w:t>des renvois préjudiciel</w:t>
      </w:r>
      <w:r w:rsidR="00515EA3">
        <w:rPr>
          <w:rFonts w:ascii="Garamond" w:hAnsi="Garamond"/>
        </w:rPr>
        <w:t>s</w:t>
      </w:r>
      <w:r w:rsidR="00ED0036">
        <w:rPr>
          <w:rFonts w:ascii="Garamond" w:hAnsi="Garamond"/>
        </w:rPr>
        <w:t xml:space="preserve"> en interprétation de juridictions judiciaire</w:t>
      </w:r>
      <w:r w:rsidR="00EF0BD9">
        <w:rPr>
          <w:rFonts w:ascii="Garamond" w:hAnsi="Garamond"/>
        </w:rPr>
        <w:t xml:space="preserve">s pour </w:t>
      </w:r>
      <w:r w:rsidR="00EF0BD9">
        <w:rPr>
          <w:rFonts w:ascii="Garamond" w:hAnsi="Garamond"/>
        </w:rPr>
        <w:lastRenderedPageBreak/>
        <w:t xml:space="preserve">mettre en cause </w:t>
      </w:r>
      <w:r>
        <w:rPr>
          <w:rFonts w:ascii="Garamond" w:hAnsi="Garamond"/>
        </w:rPr>
        <w:t xml:space="preserve">la </w:t>
      </w:r>
      <w:r w:rsidR="00ED0036">
        <w:rPr>
          <w:rFonts w:ascii="Garamond" w:hAnsi="Garamond"/>
        </w:rPr>
        <w:t xml:space="preserve">position de la </w:t>
      </w:r>
      <w:r>
        <w:rPr>
          <w:rFonts w:ascii="Garamond" w:hAnsi="Garamond"/>
        </w:rPr>
        <w:t>Cour constitutionnelle. Les</w:t>
      </w:r>
      <w:r w:rsidR="00515EA3">
        <w:rPr>
          <w:rFonts w:ascii="Garamond" w:hAnsi="Garamond"/>
        </w:rPr>
        <w:t xml:space="preserve"> énoncés</w:t>
      </w:r>
      <w:r>
        <w:rPr>
          <w:rFonts w:ascii="Garamond" w:hAnsi="Garamond"/>
        </w:rPr>
        <w:t xml:space="preserve"> norm</w:t>
      </w:r>
      <w:r w:rsidR="00515EA3">
        <w:rPr>
          <w:rFonts w:ascii="Garamond" w:hAnsi="Garamond"/>
        </w:rPr>
        <w:t>atif</w:t>
      </w:r>
      <w:r>
        <w:rPr>
          <w:rFonts w:ascii="Garamond" w:hAnsi="Garamond"/>
        </w:rPr>
        <w:t xml:space="preserve">s </w:t>
      </w:r>
      <w:r w:rsidR="007F3121">
        <w:rPr>
          <w:rFonts w:ascii="Garamond" w:hAnsi="Garamond"/>
        </w:rPr>
        <w:t xml:space="preserve">textuels </w:t>
      </w:r>
      <w:r>
        <w:rPr>
          <w:rFonts w:ascii="Garamond" w:hAnsi="Garamond"/>
        </w:rPr>
        <w:t>permettant de résoudre la question ont toujours été les mêmes durant le conflit, e</w:t>
      </w:r>
      <w:r w:rsidR="00A83668">
        <w:rPr>
          <w:rFonts w:ascii="Garamond" w:hAnsi="Garamond"/>
        </w:rPr>
        <w:t xml:space="preserve">n </w:t>
      </w:r>
      <w:r w:rsidR="00515EA3">
        <w:rPr>
          <w:rFonts w:ascii="Garamond" w:hAnsi="Garamond"/>
        </w:rPr>
        <w:t>droit interne italien comme</w:t>
      </w:r>
      <w:r w:rsidR="00A83668">
        <w:rPr>
          <w:rFonts w:ascii="Garamond" w:hAnsi="Garamond"/>
        </w:rPr>
        <w:t xml:space="preserve"> en droit communautaire, et c’est </w:t>
      </w:r>
      <w:r w:rsidR="00515EA3">
        <w:rPr>
          <w:rFonts w:ascii="Garamond" w:hAnsi="Garamond"/>
        </w:rPr>
        <w:t xml:space="preserve">à partir </w:t>
      </w:r>
      <w:r w:rsidR="00A83668">
        <w:rPr>
          <w:rFonts w:ascii="Garamond" w:hAnsi="Garamond"/>
        </w:rPr>
        <w:t>d</w:t>
      </w:r>
      <w:r w:rsidR="00515EA3">
        <w:rPr>
          <w:rFonts w:ascii="Garamond" w:hAnsi="Garamond"/>
        </w:rPr>
        <w:t xml:space="preserve">’une </w:t>
      </w:r>
      <w:r w:rsidR="00A83668">
        <w:rPr>
          <w:rFonts w:ascii="Garamond" w:hAnsi="Garamond"/>
        </w:rPr>
        <w:t xml:space="preserve">interprétation variable </w:t>
      </w:r>
      <w:r w:rsidR="00515EA3">
        <w:rPr>
          <w:rFonts w:ascii="Garamond" w:hAnsi="Garamond"/>
        </w:rPr>
        <w:t xml:space="preserve">de ces énoncés </w:t>
      </w:r>
      <w:r w:rsidR="00A83668">
        <w:rPr>
          <w:rFonts w:ascii="Garamond" w:hAnsi="Garamond"/>
        </w:rPr>
        <w:t xml:space="preserve">que le conflit sera résolu pour des </w:t>
      </w:r>
      <w:r w:rsidR="00515EA3">
        <w:rPr>
          <w:rFonts w:ascii="Garamond" w:hAnsi="Garamond"/>
        </w:rPr>
        <w:t>motif</w:t>
      </w:r>
      <w:r w:rsidR="00A83668">
        <w:rPr>
          <w:rFonts w:ascii="Garamond" w:hAnsi="Garamond"/>
        </w:rPr>
        <w:t>s, en définitive, de pure opportunité</w:t>
      </w:r>
      <w:r w:rsidR="00515EA3">
        <w:rPr>
          <w:rFonts w:ascii="Garamond" w:hAnsi="Garamond"/>
        </w:rPr>
        <w:t xml:space="preserve"> sur fond de rapports de droit et de fait</w:t>
      </w:r>
      <w:r w:rsidR="00A83668">
        <w:rPr>
          <w:rFonts w:ascii="Garamond" w:hAnsi="Garamond"/>
        </w:rPr>
        <w:t xml:space="preserve">. </w:t>
      </w:r>
    </w:p>
    <w:p w14:paraId="180BA0B2" w14:textId="77777777" w:rsidR="00EF0BD9" w:rsidRDefault="00EF0BD9" w:rsidP="0027498F">
      <w:pPr>
        <w:spacing w:line="340" w:lineRule="exact"/>
        <w:jc w:val="both"/>
        <w:rPr>
          <w:rFonts w:ascii="Garamond" w:hAnsi="Garamond"/>
        </w:rPr>
      </w:pPr>
    </w:p>
    <w:p w14:paraId="14367C20" w14:textId="54D8FB51" w:rsidR="00EF0BD9" w:rsidRDefault="00312A5E" w:rsidP="0027498F">
      <w:pPr>
        <w:spacing w:line="340" w:lineRule="exact"/>
        <w:jc w:val="both"/>
        <w:rPr>
          <w:rFonts w:ascii="Garamond" w:hAnsi="Garamond"/>
        </w:rPr>
      </w:pPr>
      <w:r>
        <w:rPr>
          <w:rFonts w:ascii="Garamond" w:hAnsi="Garamond"/>
        </w:rPr>
        <w:t>Plus généralement, a</w:t>
      </w:r>
      <w:r w:rsidR="00EF0BD9">
        <w:rPr>
          <w:rFonts w:ascii="Garamond" w:hAnsi="Garamond"/>
        </w:rPr>
        <w:t>u cours de l’histoire du droit communautaire et du droit de l’Union européenne</w:t>
      </w:r>
      <w:r w:rsidR="00515EA3">
        <w:rPr>
          <w:rFonts w:ascii="Garamond" w:hAnsi="Garamond"/>
        </w:rPr>
        <w:t>,</w:t>
      </w:r>
      <w:r w:rsidRPr="00312A5E">
        <w:rPr>
          <w:rFonts w:ascii="Garamond" w:hAnsi="Garamond"/>
        </w:rPr>
        <w:t xml:space="preserve"> </w:t>
      </w:r>
      <w:r>
        <w:rPr>
          <w:rFonts w:ascii="Garamond" w:hAnsi="Garamond"/>
        </w:rPr>
        <w:t>dans les conflits opposant la Cour de justice et les Cours constitutionnelles nationales</w:t>
      </w:r>
      <w:r w:rsidR="00EF0BD9">
        <w:rPr>
          <w:rFonts w:ascii="Garamond" w:hAnsi="Garamond"/>
        </w:rPr>
        <w:t xml:space="preserve">, quatre périodes de conflits, correspondant à quatre situations différentes, se seront </w:t>
      </w:r>
      <w:proofErr w:type="gramStart"/>
      <w:r>
        <w:rPr>
          <w:rFonts w:ascii="Garamond" w:hAnsi="Garamond"/>
        </w:rPr>
        <w:t>succédées</w:t>
      </w:r>
      <w:proofErr w:type="gramEnd"/>
      <w:r w:rsidR="00EF0BD9">
        <w:rPr>
          <w:rFonts w:ascii="Garamond" w:hAnsi="Garamond"/>
        </w:rPr>
        <w:t xml:space="preserve"> sur : </w:t>
      </w:r>
    </w:p>
    <w:p w14:paraId="0D6B1352" w14:textId="77777777" w:rsidR="00EF0BD9" w:rsidRDefault="00EF0BD9" w:rsidP="00EF0BD9">
      <w:pPr>
        <w:pStyle w:val="Paragraphedeliste"/>
        <w:numPr>
          <w:ilvl w:val="0"/>
          <w:numId w:val="2"/>
        </w:numPr>
        <w:spacing w:line="340" w:lineRule="exact"/>
        <w:jc w:val="both"/>
        <w:rPr>
          <w:rFonts w:ascii="Garamond" w:hAnsi="Garamond"/>
        </w:rPr>
      </w:pPr>
      <w:r w:rsidRPr="00EF0BD9">
        <w:rPr>
          <w:rFonts w:ascii="Garamond" w:hAnsi="Garamond"/>
        </w:rPr>
        <w:t xml:space="preserve">(1) </w:t>
      </w:r>
      <w:r w:rsidR="00F7287C" w:rsidRPr="00EF0BD9">
        <w:rPr>
          <w:rFonts w:ascii="Garamond" w:hAnsi="Garamond"/>
        </w:rPr>
        <w:t xml:space="preserve">l’étendue, la reconnaissance et la sanction de la primauté du droit de l’Union, </w:t>
      </w:r>
    </w:p>
    <w:p w14:paraId="0800C6D3" w14:textId="436CAD05" w:rsidR="00EF0BD9" w:rsidRDefault="00EF0BD9" w:rsidP="00EF0BD9">
      <w:pPr>
        <w:pStyle w:val="Paragraphedeliste"/>
        <w:numPr>
          <w:ilvl w:val="0"/>
          <w:numId w:val="2"/>
        </w:numPr>
        <w:spacing w:line="340" w:lineRule="exact"/>
        <w:jc w:val="both"/>
        <w:rPr>
          <w:rFonts w:ascii="Garamond" w:hAnsi="Garamond"/>
        </w:rPr>
      </w:pPr>
      <w:r>
        <w:rPr>
          <w:rFonts w:ascii="Garamond" w:hAnsi="Garamond"/>
        </w:rPr>
        <w:t xml:space="preserve">(2) </w:t>
      </w:r>
      <w:r w:rsidR="00F7287C" w:rsidRPr="00EF0BD9">
        <w:rPr>
          <w:rFonts w:ascii="Garamond" w:hAnsi="Garamond"/>
        </w:rPr>
        <w:t xml:space="preserve">la revendication de </w:t>
      </w:r>
      <w:proofErr w:type="spellStart"/>
      <w:r w:rsidR="00F7287C" w:rsidRPr="00515EA3">
        <w:rPr>
          <w:rFonts w:ascii="Garamond" w:hAnsi="Garamond"/>
          <w:i/>
          <w:iCs/>
        </w:rPr>
        <w:t>contrelimite</w:t>
      </w:r>
      <w:r w:rsidR="00F7287C" w:rsidRPr="00EF0BD9">
        <w:rPr>
          <w:rFonts w:ascii="Garamond" w:hAnsi="Garamond"/>
        </w:rPr>
        <w:t>s</w:t>
      </w:r>
      <w:proofErr w:type="spellEnd"/>
      <w:r>
        <w:rPr>
          <w:rStyle w:val="Appelnotedebasdep"/>
          <w:rFonts w:ascii="Garamond" w:hAnsi="Garamond"/>
        </w:rPr>
        <w:footnoteReference w:id="4"/>
      </w:r>
      <w:r w:rsidR="00F7287C" w:rsidRPr="00EF0BD9">
        <w:rPr>
          <w:rFonts w:ascii="Garamond" w:hAnsi="Garamond"/>
        </w:rPr>
        <w:t xml:space="preserve"> à la construction européenne</w:t>
      </w:r>
      <w:r w:rsidR="006760FE">
        <w:rPr>
          <w:rStyle w:val="Appelnotedebasdep"/>
          <w:rFonts w:ascii="Garamond" w:hAnsi="Garamond"/>
        </w:rPr>
        <w:footnoteReference w:id="5"/>
      </w:r>
      <w:r>
        <w:rPr>
          <w:rFonts w:ascii="Garamond" w:hAnsi="Garamond"/>
        </w:rPr>
        <w:t>,</w:t>
      </w:r>
      <w:r w:rsidR="00F7287C" w:rsidRPr="00EF0BD9">
        <w:rPr>
          <w:rFonts w:ascii="Garamond" w:hAnsi="Garamond"/>
        </w:rPr>
        <w:t xml:space="preserve"> </w:t>
      </w:r>
    </w:p>
    <w:p w14:paraId="5C46D2EF" w14:textId="459C3D2F" w:rsidR="00EF0BD9" w:rsidRDefault="00EF0BD9" w:rsidP="00EF0BD9">
      <w:pPr>
        <w:pStyle w:val="Paragraphedeliste"/>
        <w:numPr>
          <w:ilvl w:val="0"/>
          <w:numId w:val="2"/>
        </w:numPr>
        <w:spacing w:line="340" w:lineRule="exact"/>
        <w:jc w:val="both"/>
        <w:rPr>
          <w:rFonts w:ascii="Garamond" w:hAnsi="Garamond"/>
        </w:rPr>
      </w:pPr>
      <w:r>
        <w:rPr>
          <w:rFonts w:ascii="Garamond" w:hAnsi="Garamond"/>
        </w:rPr>
        <w:t xml:space="preserve">(3) </w:t>
      </w:r>
      <w:r w:rsidR="00F7287C" w:rsidRPr="00EF0BD9">
        <w:rPr>
          <w:rFonts w:ascii="Garamond" w:hAnsi="Garamond"/>
        </w:rPr>
        <w:t xml:space="preserve">l’insertion des </w:t>
      </w:r>
      <w:r w:rsidR="00006E1E">
        <w:rPr>
          <w:rFonts w:ascii="Garamond" w:hAnsi="Garamond"/>
        </w:rPr>
        <w:t>C</w:t>
      </w:r>
      <w:r w:rsidR="00F7287C" w:rsidRPr="00EF0BD9">
        <w:rPr>
          <w:rFonts w:ascii="Garamond" w:hAnsi="Garamond"/>
        </w:rPr>
        <w:t xml:space="preserve">ours constitutionnelles dans le système juridictionnel européen </w:t>
      </w:r>
      <w:r w:rsidR="00C91B8C" w:rsidRPr="00EF0BD9">
        <w:rPr>
          <w:rFonts w:ascii="Garamond" w:hAnsi="Garamond"/>
        </w:rPr>
        <w:t>par</w:t>
      </w:r>
      <w:r w:rsidR="00F7287C" w:rsidRPr="00EF0BD9">
        <w:rPr>
          <w:rFonts w:ascii="Garamond" w:hAnsi="Garamond"/>
        </w:rPr>
        <w:t xml:space="preserve"> l’usage </w:t>
      </w:r>
      <w:r w:rsidR="007A525C">
        <w:rPr>
          <w:rFonts w:ascii="Garamond" w:hAnsi="Garamond"/>
        </w:rPr>
        <w:t xml:space="preserve">de ces dernières </w:t>
      </w:r>
      <w:r w:rsidR="00F7287C" w:rsidRPr="00EF0BD9">
        <w:rPr>
          <w:rFonts w:ascii="Garamond" w:hAnsi="Garamond"/>
        </w:rPr>
        <w:t>du renvoi préjudiciel en interprétation</w:t>
      </w:r>
      <w:r w:rsidR="007A525C">
        <w:rPr>
          <w:rFonts w:ascii="Garamond" w:hAnsi="Garamond"/>
        </w:rPr>
        <w:t>,</w:t>
      </w:r>
    </w:p>
    <w:p w14:paraId="15E40586" w14:textId="3CCBF759" w:rsidR="007A525C" w:rsidRDefault="007A525C" w:rsidP="00EF0BD9">
      <w:pPr>
        <w:pStyle w:val="Paragraphedeliste"/>
        <w:numPr>
          <w:ilvl w:val="0"/>
          <w:numId w:val="2"/>
        </w:numPr>
        <w:spacing w:line="340" w:lineRule="exact"/>
        <w:jc w:val="both"/>
        <w:rPr>
          <w:rFonts w:ascii="Garamond" w:hAnsi="Garamond"/>
        </w:rPr>
      </w:pPr>
      <w:r>
        <w:rPr>
          <w:rFonts w:ascii="Garamond" w:hAnsi="Garamond"/>
        </w:rPr>
        <w:t>(4)</w:t>
      </w:r>
      <w:r w:rsidR="00592112">
        <w:rPr>
          <w:rFonts w:ascii="Garamond" w:hAnsi="Garamond"/>
        </w:rPr>
        <w:t xml:space="preserve"> le retour des </w:t>
      </w:r>
      <w:proofErr w:type="spellStart"/>
      <w:r w:rsidR="00592112" w:rsidRPr="00592112">
        <w:rPr>
          <w:rFonts w:ascii="Garamond" w:hAnsi="Garamond"/>
          <w:i/>
          <w:iCs/>
        </w:rPr>
        <w:t>contrelimites</w:t>
      </w:r>
      <w:proofErr w:type="spellEnd"/>
      <w:r w:rsidR="00592112">
        <w:rPr>
          <w:rFonts w:ascii="Garamond" w:hAnsi="Garamond"/>
        </w:rPr>
        <w:t xml:space="preserve"> et le respect de l’identité constitutionnelle.</w:t>
      </w:r>
    </w:p>
    <w:p w14:paraId="5085ADE6" w14:textId="77777777" w:rsidR="00EF0BD9" w:rsidRDefault="00EF0BD9" w:rsidP="00EF0BD9">
      <w:pPr>
        <w:spacing w:line="340" w:lineRule="exact"/>
        <w:ind w:left="360"/>
        <w:jc w:val="both"/>
        <w:rPr>
          <w:rFonts w:ascii="Garamond" w:hAnsi="Garamond"/>
        </w:rPr>
      </w:pPr>
    </w:p>
    <w:p w14:paraId="1B4E8318" w14:textId="3F426044" w:rsidR="00F7287C" w:rsidRPr="00EF0BD9" w:rsidRDefault="007A525C" w:rsidP="00312A5E">
      <w:pPr>
        <w:spacing w:line="340" w:lineRule="exact"/>
        <w:jc w:val="both"/>
        <w:rPr>
          <w:rFonts w:ascii="Garamond" w:hAnsi="Garamond"/>
        </w:rPr>
      </w:pPr>
      <w:r>
        <w:rPr>
          <w:rFonts w:ascii="Garamond" w:hAnsi="Garamond"/>
        </w:rPr>
        <w:t>La phase d’insertion des cours constitutionnelles dans le système juridictionnel européen</w:t>
      </w:r>
      <w:r w:rsidR="00592112">
        <w:rPr>
          <w:rFonts w:ascii="Garamond" w:hAnsi="Garamond"/>
        </w:rPr>
        <w:t xml:space="preserve"> (3)</w:t>
      </w:r>
      <w:r w:rsidR="00EF0BD9">
        <w:rPr>
          <w:rFonts w:ascii="Garamond" w:hAnsi="Garamond"/>
        </w:rPr>
        <w:t>,</w:t>
      </w:r>
      <w:r w:rsidR="00F7287C" w:rsidRPr="00EF0BD9">
        <w:rPr>
          <w:rFonts w:ascii="Garamond" w:hAnsi="Garamond"/>
        </w:rPr>
        <w:t xml:space="preserve"> qui semblait devoir définitivement banaliser le droit de l’Union dans le contentieux constitutionnel</w:t>
      </w:r>
      <w:r w:rsidR="00EF0BD9">
        <w:rPr>
          <w:rFonts w:ascii="Garamond" w:hAnsi="Garamond"/>
        </w:rPr>
        <w:t>,</w:t>
      </w:r>
      <w:r w:rsidR="00F7287C" w:rsidRPr="00EF0BD9">
        <w:rPr>
          <w:rFonts w:ascii="Garamond" w:hAnsi="Garamond"/>
        </w:rPr>
        <w:t xml:space="preserve"> a toutefois régénéré et nourri la revendication </w:t>
      </w:r>
      <w:r w:rsidR="00EF0BD9">
        <w:rPr>
          <w:rFonts w:ascii="Garamond" w:hAnsi="Garamond"/>
        </w:rPr>
        <w:t xml:space="preserve">renouvelée </w:t>
      </w:r>
      <w:r w:rsidR="00F7287C" w:rsidRPr="00EF0BD9">
        <w:rPr>
          <w:rFonts w:ascii="Garamond" w:hAnsi="Garamond"/>
        </w:rPr>
        <w:t xml:space="preserve">des cours constitutionnelles aux </w:t>
      </w:r>
      <w:proofErr w:type="spellStart"/>
      <w:r w:rsidR="00F7287C" w:rsidRPr="00EF0BD9">
        <w:rPr>
          <w:rFonts w:ascii="Garamond" w:hAnsi="Garamond"/>
          <w:i/>
          <w:iCs/>
        </w:rPr>
        <w:t>contrelimites</w:t>
      </w:r>
      <w:proofErr w:type="spellEnd"/>
      <w:r w:rsidR="00C91B8C" w:rsidRPr="00EF0BD9">
        <w:rPr>
          <w:rFonts w:ascii="Garamond" w:hAnsi="Garamond"/>
        </w:rPr>
        <w:t xml:space="preserve">, sur fond de reconnaissance par le droit de l’Union lui-même de ces </w:t>
      </w:r>
      <w:proofErr w:type="spellStart"/>
      <w:r w:rsidR="00C91B8C" w:rsidRPr="00EF0BD9">
        <w:rPr>
          <w:rFonts w:ascii="Garamond" w:hAnsi="Garamond"/>
          <w:i/>
          <w:iCs/>
        </w:rPr>
        <w:t>contrelimites</w:t>
      </w:r>
      <w:proofErr w:type="spellEnd"/>
      <w:r w:rsidR="00EF0BD9">
        <w:rPr>
          <w:rFonts w:ascii="Garamond" w:hAnsi="Garamond"/>
        </w:rPr>
        <w:t>,</w:t>
      </w:r>
      <w:r w:rsidR="00C91B8C" w:rsidRPr="00EF0BD9">
        <w:rPr>
          <w:rFonts w:ascii="Garamond" w:hAnsi="Garamond"/>
        </w:rPr>
        <w:t xml:space="preserve"> </w:t>
      </w:r>
      <w:r w:rsidR="00EF0BD9">
        <w:rPr>
          <w:rFonts w:ascii="Garamond" w:hAnsi="Garamond"/>
        </w:rPr>
        <w:t xml:space="preserve">grâce au </w:t>
      </w:r>
      <w:r w:rsidR="00C91B8C" w:rsidRPr="00EF0BD9">
        <w:rPr>
          <w:rFonts w:ascii="Garamond" w:hAnsi="Garamond"/>
        </w:rPr>
        <w:t xml:space="preserve">renvoi </w:t>
      </w:r>
      <w:r w:rsidR="00EF0BD9">
        <w:rPr>
          <w:rFonts w:ascii="Garamond" w:hAnsi="Garamond"/>
        </w:rPr>
        <w:t>par</w:t>
      </w:r>
      <w:r w:rsidR="00C91B8C" w:rsidRPr="00EF0BD9">
        <w:rPr>
          <w:rFonts w:ascii="Garamond" w:hAnsi="Garamond"/>
        </w:rPr>
        <w:t xml:space="preserve"> l’article 4 § 2 du traité sur l’Union européenne à l’identité nationale des </w:t>
      </w:r>
      <w:r w:rsidR="00EF0BD9" w:rsidRPr="00EF0BD9">
        <w:rPr>
          <w:rFonts w:ascii="Garamond" w:hAnsi="Garamond"/>
        </w:rPr>
        <w:t>États</w:t>
      </w:r>
      <w:r w:rsidR="00EF0BD9">
        <w:rPr>
          <w:rFonts w:ascii="Garamond" w:hAnsi="Garamond"/>
        </w:rPr>
        <w:t>,</w:t>
      </w:r>
      <w:r w:rsidR="00C91B8C" w:rsidRPr="00EF0BD9">
        <w:rPr>
          <w:rFonts w:ascii="Garamond" w:hAnsi="Garamond"/>
        </w:rPr>
        <w:t xml:space="preserve"> comme limite au </w:t>
      </w:r>
      <w:r w:rsidR="00592112">
        <w:rPr>
          <w:rFonts w:ascii="Garamond" w:hAnsi="Garamond"/>
        </w:rPr>
        <w:t xml:space="preserve">respect du </w:t>
      </w:r>
      <w:r w:rsidR="00C91B8C" w:rsidRPr="00EF0BD9">
        <w:rPr>
          <w:rFonts w:ascii="Garamond" w:hAnsi="Garamond"/>
        </w:rPr>
        <w:t>droit de l’Union</w:t>
      </w:r>
      <w:r w:rsidR="00EF0BD9">
        <w:rPr>
          <w:rFonts w:ascii="Garamond" w:hAnsi="Garamond"/>
        </w:rPr>
        <w:t xml:space="preserve"> (4)</w:t>
      </w:r>
      <w:r w:rsidR="00C91B8C" w:rsidRPr="00EF0BD9">
        <w:rPr>
          <w:rFonts w:ascii="Garamond" w:hAnsi="Garamond"/>
        </w:rPr>
        <w:t>.</w:t>
      </w:r>
    </w:p>
    <w:p w14:paraId="0072BD87" w14:textId="77777777" w:rsidR="00F7287C" w:rsidRDefault="00F7287C" w:rsidP="0027498F">
      <w:pPr>
        <w:spacing w:line="340" w:lineRule="exact"/>
        <w:jc w:val="both"/>
        <w:rPr>
          <w:rFonts w:ascii="Garamond" w:hAnsi="Garamond"/>
        </w:rPr>
      </w:pPr>
    </w:p>
    <w:p w14:paraId="7EF84719" w14:textId="522C987D" w:rsidR="005F0F47" w:rsidRDefault="006760FE" w:rsidP="0027498F">
      <w:pPr>
        <w:spacing w:line="340" w:lineRule="exact"/>
        <w:jc w:val="both"/>
        <w:rPr>
          <w:rFonts w:ascii="Garamond" w:hAnsi="Garamond"/>
        </w:rPr>
      </w:pPr>
      <w:r>
        <w:rPr>
          <w:rFonts w:ascii="Garamond" w:hAnsi="Garamond"/>
        </w:rPr>
        <w:t>Au-delà de l’exemple italien, s</w:t>
      </w:r>
      <w:r w:rsidR="00F7287C">
        <w:rPr>
          <w:rFonts w:ascii="Garamond" w:hAnsi="Garamond"/>
        </w:rPr>
        <w:t>ur la question de la sanction de la primauté</w:t>
      </w:r>
      <w:r w:rsidR="00C91B8C">
        <w:rPr>
          <w:rFonts w:ascii="Garamond" w:hAnsi="Garamond"/>
        </w:rPr>
        <w:t xml:space="preserve"> </w:t>
      </w:r>
      <w:r>
        <w:rPr>
          <w:rFonts w:ascii="Garamond" w:hAnsi="Garamond"/>
        </w:rPr>
        <w:t xml:space="preserve">par les juges nationaux </w:t>
      </w:r>
      <w:r w:rsidR="00C91B8C">
        <w:rPr>
          <w:rFonts w:ascii="Garamond" w:hAnsi="Garamond"/>
        </w:rPr>
        <w:t xml:space="preserve">et </w:t>
      </w:r>
      <w:r>
        <w:rPr>
          <w:rFonts w:ascii="Garamond" w:hAnsi="Garamond"/>
        </w:rPr>
        <w:t>l</w:t>
      </w:r>
      <w:r w:rsidR="00C91B8C">
        <w:rPr>
          <w:rFonts w:ascii="Garamond" w:hAnsi="Garamond"/>
        </w:rPr>
        <w:t>es choix interprétatifs malléables</w:t>
      </w:r>
      <w:r>
        <w:rPr>
          <w:rFonts w:ascii="Garamond" w:hAnsi="Garamond"/>
        </w:rPr>
        <w:t xml:space="preserve"> que ces derniers ont pu retenir</w:t>
      </w:r>
      <w:r w:rsidR="00515EA3">
        <w:rPr>
          <w:rFonts w:ascii="Garamond" w:hAnsi="Garamond"/>
        </w:rPr>
        <w:t xml:space="preserve"> des énoncés normatifs </w:t>
      </w:r>
      <w:r w:rsidR="00162B89">
        <w:rPr>
          <w:rFonts w:ascii="Garamond" w:hAnsi="Garamond"/>
        </w:rPr>
        <w:t xml:space="preserve">textuels </w:t>
      </w:r>
      <w:r w:rsidR="00515EA3">
        <w:rPr>
          <w:rFonts w:ascii="Garamond" w:hAnsi="Garamond"/>
        </w:rPr>
        <w:t>mobilisables</w:t>
      </w:r>
      <w:r w:rsidR="00F7287C">
        <w:rPr>
          <w:rFonts w:ascii="Garamond" w:hAnsi="Garamond"/>
        </w:rPr>
        <w:t xml:space="preserve">, </w:t>
      </w:r>
      <w:r w:rsidR="00006E1E">
        <w:rPr>
          <w:rFonts w:ascii="Garamond" w:hAnsi="Garamond"/>
        </w:rPr>
        <w:t xml:space="preserve">l’interprétation de </w:t>
      </w:r>
      <w:r w:rsidR="00A83668">
        <w:rPr>
          <w:rFonts w:ascii="Garamond" w:hAnsi="Garamond"/>
        </w:rPr>
        <w:t>l’article 55 de la Constitution</w:t>
      </w:r>
      <w:r w:rsidR="00006E1E">
        <w:rPr>
          <w:rFonts w:ascii="Garamond" w:hAnsi="Garamond"/>
        </w:rPr>
        <w:t xml:space="preserve"> constitue un autre exemple topique. I</w:t>
      </w:r>
      <w:r w:rsidR="00A83668">
        <w:rPr>
          <w:rFonts w:ascii="Garamond" w:hAnsi="Garamond"/>
        </w:rPr>
        <w:t>nterprété</w:t>
      </w:r>
      <w:r w:rsidR="00592112">
        <w:rPr>
          <w:rFonts w:ascii="Garamond" w:hAnsi="Garamond"/>
        </w:rPr>
        <w:t>e</w:t>
      </w:r>
      <w:r w:rsidR="00A83668">
        <w:rPr>
          <w:rFonts w:ascii="Garamond" w:hAnsi="Garamond"/>
        </w:rPr>
        <w:t>, dans un premier temps, comme confiant l’exclusivité du contrôle de conventionnalité au Conseil constitutionnel</w:t>
      </w:r>
      <w:r w:rsidR="00006E1E">
        <w:rPr>
          <w:rFonts w:ascii="Garamond" w:hAnsi="Garamond"/>
        </w:rPr>
        <w:t>,</w:t>
      </w:r>
      <w:r w:rsidR="00006E1E" w:rsidRPr="00006E1E">
        <w:rPr>
          <w:rFonts w:ascii="Garamond" w:hAnsi="Garamond"/>
        </w:rPr>
        <w:t xml:space="preserve"> </w:t>
      </w:r>
      <w:r w:rsidR="00006E1E">
        <w:rPr>
          <w:rFonts w:ascii="Garamond" w:hAnsi="Garamond"/>
        </w:rPr>
        <w:t>cette disposition constitutionnelle a reçu</w:t>
      </w:r>
      <w:r w:rsidR="00A83668">
        <w:rPr>
          <w:rFonts w:ascii="Garamond" w:hAnsi="Garamond"/>
        </w:rPr>
        <w:t>, dans un second temps, une interprétation tout autre</w:t>
      </w:r>
      <w:r>
        <w:rPr>
          <w:rFonts w:ascii="Garamond" w:hAnsi="Garamond"/>
        </w:rPr>
        <w:t>,</w:t>
      </w:r>
      <w:r w:rsidR="00A83668">
        <w:rPr>
          <w:rFonts w:ascii="Garamond" w:hAnsi="Garamond"/>
        </w:rPr>
        <w:t xml:space="preserve"> excluant l</w:t>
      </w:r>
      <w:r>
        <w:rPr>
          <w:rFonts w:ascii="Garamond" w:hAnsi="Garamond"/>
        </w:rPr>
        <w:t>a compétence du</w:t>
      </w:r>
      <w:r w:rsidR="00A83668">
        <w:rPr>
          <w:rFonts w:ascii="Garamond" w:hAnsi="Garamond"/>
        </w:rPr>
        <w:t xml:space="preserve"> Conseil constitutionnel </w:t>
      </w:r>
      <w:r>
        <w:rPr>
          <w:rFonts w:ascii="Garamond" w:hAnsi="Garamond"/>
        </w:rPr>
        <w:t>pour exercer</w:t>
      </w:r>
      <w:r w:rsidR="00A83668">
        <w:rPr>
          <w:rFonts w:ascii="Garamond" w:hAnsi="Garamond"/>
        </w:rPr>
        <w:t xml:space="preserve"> ce contrôle</w:t>
      </w:r>
      <w:r w:rsidR="00515EA3">
        <w:rPr>
          <w:rFonts w:ascii="Garamond" w:hAnsi="Garamond"/>
        </w:rPr>
        <w:t>,</w:t>
      </w:r>
      <w:r w:rsidR="00A83668">
        <w:rPr>
          <w:rFonts w:ascii="Garamond" w:hAnsi="Garamond"/>
        </w:rPr>
        <w:t xml:space="preserve"> pour le confier, de manière diffuse, à tous les juges internes</w:t>
      </w:r>
      <w:r w:rsidR="00FD74D8">
        <w:rPr>
          <w:rFonts w:ascii="Garamond" w:hAnsi="Garamond"/>
        </w:rPr>
        <w:t> ;</w:t>
      </w:r>
      <w:r w:rsidR="00A83668">
        <w:rPr>
          <w:rFonts w:ascii="Garamond" w:hAnsi="Garamond"/>
        </w:rPr>
        <w:t xml:space="preserve"> étant entendu</w:t>
      </w:r>
      <w:r w:rsidR="00FD74D8">
        <w:rPr>
          <w:rFonts w:ascii="Garamond" w:hAnsi="Garamond"/>
        </w:rPr>
        <w:t>,</w:t>
      </w:r>
      <w:r w:rsidR="00A83668">
        <w:rPr>
          <w:rFonts w:ascii="Garamond" w:hAnsi="Garamond"/>
        </w:rPr>
        <w:t xml:space="preserve"> qu’il y aura eu, par ailleurs, un décalage temporel entre la Cour de cassation et </w:t>
      </w:r>
      <w:r w:rsidR="00006E1E">
        <w:rPr>
          <w:rFonts w:ascii="Garamond" w:hAnsi="Garamond"/>
        </w:rPr>
        <w:t>le</w:t>
      </w:r>
      <w:r w:rsidR="00A83668">
        <w:rPr>
          <w:rFonts w:ascii="Garamond" w:hAnsi="Garamond"/>
        </w:rPr>
        <w:t xml:space="preserve"> Conseil d’état</w:t>
      </w:r>
      <w:r w:rsidR="00FD74D8">
        <w:rPr>
          <w:rStyle w:val="Appelnotedebasdep"/>
          <w:rFonts w:ascii="Garamond" w:hAnsi="Garamond"/>
        </w:rPr>
        <w:footnoteReference w:id="6"/>
      </w:r>
      <w:r w:rsidR="00A83668">
        <w:rPr>
          <w:rFonts w:ascii="Garamond" w:hAnsi="Garamond"/>
        </w:rPr>
        <w:t>, de près de 15 ans, pour parvenir à un alignement d’interprétation. Il est</w:t>
      </w:r>
      <w:r w:rsidR="00FD74D8">
        <w:rPr>
          <w:rFonts w:ascii="Garamond" w:hAnsi="Garamond"/>
        </w:rPr>
        <w:t>,</w:t>
      </w:r>
      <w:r w:rsidR="00A83668">
        <w:rPr>
          <w:rFonts w:ascii="Garamond" w:hAnsi="Garamond"/>
        </w:rPr>
        <w:t xml:space="preserve"> certes</w:t>
      </w:r>
      <w:r w:rsidR="00FD74D8">
        <w:rPr>
          <w:rFonts w:ascii="Garamond" w:hAnsi="Garamond"/>
        </w:rPr>
        <w:t>,</w:t>
      </w:r>
      <w:r w:rsidR="00A83668">
        <w:rPr>
          <w:rFonts w:ascii="Garamond" w:hAnsi="Garamond"/>
        </w:rPr>
        <w:t xml:space="preserve"> question d’interprétation des </w:t>
      </w:r>
      <w:r w:rsidR="00515EA3">
        <w:rPr>
          <w:rFonts w:ascii="Garamond" w:hAnsi="Garamond"/>
        </w:rPr>
        <w:lastRenderedPageBreak/>
        <w:t xml:space="preserve">énoncés </w:t>
      </w:r>
      <w:r w:rsidR="00A83668">
        <w:rPr>
          <w:rFonts w:ascii="Garamond" w:hAnsi="Garamond"/>
        </w:rPr>
        <w:t>norm</w:t>
      </w:r>
      <w:r w:rsidR="00515EA3">
        <w:rPr>
          <w:rFonts w:ascii="Garamond" w:hAnsi="Garamond"/>
        </w:rPr>
        <w:t>atif</w:t>
      </w:r>
      <w:r w:rsidR="00A83668">
        <w:rPr>
          <w:rFonts w:ascii="Garamond" w:hAnsi="Garamond"/>
        </w:rPr>
        <w:t>s, et donc de pouvoir discrétionnaire, mais les changements d’interprétation n’en demeurent pas moins guidés par des jeux de pouvoir.</w:t>
      </w:r>
    </w:p>
    <w:p w14:paraId="44C196F7" w14:textId="51C9604A" w:rsidR="00497C48" w:rsidRDefault="00497C48" w:rsidP="0027498F">
      <w:pPr>
        <w:spacing w:line="340" w:lineRule="exact"/>
        <w:jc w:val="both"/>
        <w:rPr>
          <w:rFonts w:ascii="Garamond" w:hAnsi="Garamond"/>
        </w:rPr>
      </w:pPr>
    </w:p>
    <w:p w14:paraId="357FD990" w14:textId="696027AA" w:rsidR="00497C48" w:rsidRDefault="00497C48" w:rsidP="0027498F">
      <w:pPr>
        <w:spacing w:line="340" w:lineRule="exact"/>
        <w:jc w:val="both"/>
        <w:rPr>
          <w:rFonts w:ascii="Garamond" w:hAnsi="Garamond"/>
        </w:rPr>
      </w:pPr>
      <w:r>
        <w:rPr>
          <w:rFonts w:ascii="Garamond" w:hAnsi="Garamond"/>
        </w:rPr>
        <w:t xml:space="preserve">Sous ce dernier angle, </w:t>
      </w:r>
      <w:r w:rsidR="00515EA3">
        <w:rPr>
          <w:rFonts w:ascii="Garamond" w:hAnsi="Garamond"/>
        </w:rPr>
        <w:t xml:space="preserve">en droit de la Convention européenne des droits de l’homme, </w:t>
      </w:r>
      <w:r>
        <w:rPr>
          <w:rFonts w:ascii="Garamond" w:hAnsi="Garamond"/>
        </w:rPr>
        <w:t xml:space="preserve">les contraintes pesant sur les juges nationaux demeurent plus faibles que celles qui résultent du droit de l’Union européenne. Précisément, il n’existe pas d’arrêt </w:t>
      </w:r>
      <w:r w:rsidRPr="008D0083">
        <w:rPr>
          <w:rFonts w:ascii="Garamond" w:hAnsi="Garamond"/>
          <w:i/>
          <w:iCs/>
        </w:rPr>
        <w:t>Costa</w:t>
      </w:r>
      <w:r>
        <w:rPr>
          <w:rFonts w:ascii="Garamond" w:hAnsi="Garamond"/>
        </w:rPr>
        <w:t xml:space="preserve"> ni d’arrêt </w:t>
      </w:r>
      <w:r w:rsidRPr="008D0083">
        <w:rPr>
          <w:rFonts w:ascii="Garamond" w:hAnsi="Garamond"/>
          <w:i/>
          <w:iCs/>
        </w:rPr>
        <w:t>Simmenthal</w:t>
      </w:r>
      <w:r>
        <w:rPr>
          <w:rFonts w:ascii="Garamond" w:hAnsi="Garamond"/>
        </w:rPr>
        <w:t xml:space="preserve"> de la Cour européenne des droits de l’homme, m</w:t>
      </w:r>
      <w:r w:rsidR="00162B89">
        <w:rPr>
          <w:rFonts w:ascii="Garamond" w:hAnsi="Garamond"/>
        </w:rPr>
        <w:t>ême</w:t>
      </w:r>
      <w:r>
        <w:rPr>
          <w:rFonts w:ascii="Garamond" w:hAnsi="Garamond"/>
        </w:rPr>
        <w:t xml:space="preserve"> si les contraintes de la primauté du droit de la Convention européenne des droits de l’homme comme du caractère diffus du contrôle de conventionnalité résultent d’exigences du droit international public et du système conventionnel subsidiaire</w:t>
      </w:r>
      <w:r w:rsidR="008D0083">
        <w:rPr>
          <w:rStyle w:val="Appelnotedebasdep"/>
          <w:rFonts w:ascii="Garamond" w:hAnsi="Garamond"/>
        </w:rPr>
        <w:footnoteReference w:id="7"/>
      </w:r>
      <w:r>
        <w:rPr>
          <w:rFonts w:ascii="Garamond" w:hAnsi="Garamond"/>
        </w:rPr>
        <w:t>.</w:t>
      </w:r>
      <w:r w:rsidR="00C91B8C">
        <w:rPr>
          <w:rFonts w:ascii="Garamond" w:hAnsi="Garamond"/>
        </w:rPr>
        <w:t xml:space="preserve"> La dimension directement conflictuelle du droit de la Convention avec le droit constitutionnel est beaucoup plus faible qu’en droit de l’Union. </w:t>
      </w:r>
      <w:r w:rsidR="003F03F9">
        <w:rPr>
          <w:rFonts w:ascii="Garamond" w:hAnsi="Garamond"/>
        </w:rPr>
        <w:t xml:space="preserve">Le droit de la Convention apparaît dans cette dimension conflictuelle comme relevant </w:t>
      </w:r>
      <w:proofErr w:type="gramStart"/>
      <w:r w:rsidR="003F03F9">
        <w:rPr>
          <w:rFonts w:ascii="Garamond" w:hAnsi="Garamond"/>
        </w:rPr>
        <w:t xml:space="preserve">d’une </w:t>
      </w:r>
      <w:r w:rsidR="003F03F9">
        <w:rPr>
          <w:rFonts w:ascii="Garamond" w:hAnsi="Garamond"/>
          <w:i/>
          <w:iCs/>
        </w:rPr>
        <w:t>soft</w:t>
      </w:r>
      <w:proofErr w:type="gramEnd"/>
      <w:r w:rsidR="003F03F9">
        <w:rPr>
          <w:rFonts w:ascii="Garamond" w:hAnsi="Garamond"/>
          <w:i/>
          <w:iCs/>
        </w:rPr>
        <w:t xml:space="preserve"> </w:t>
      </w:r>
      <w:proofErr w:type="spellStart"/>
      <w:r w:rsidR="003F03F9">
        <w:rPr>
          <w:rFonts w:ascii="Garamond" w:hAnsi="Garamond"/>
          <w:i/>
          <w:iCs/>
        </w:rPr>
        <w:t>law</w:t>
      </w:r>
      <w:proofErr w:type="spellEnd"/>
      <w:r w:rsidR="003F03F9">
        <w:rPr>
          <w:rFonts w:ascii="Garamond" w:hAnsi="Garamond"/>
          <w:i/>
          <w:iCs/>
        </w:rPr>
        <w:t xml:space="preserve"> supran</w:t>
      </w:r>
      <w:r w:rsidR="00FD74D8">
        <w:rPr>
          <w:rFonts w:ascii="Garamond" w:hAnsi="Garamond"/>
          <w:i/>
          <w:iCs/>
        </w:rPr>
        <w:t>a</w:t>
      </w:r>
      <w:r w:rsidR="003F03F9">
        <w:rPr>
          <w:rFonts w:ascii="Garamond" w:hAnsi="Garamond"/>
          <w:i/>
          <w:iCs/>
        </w:rPr>
        <w:t xml:space="preserve">tionale </w:t>
      </w:r>
      <w:r w:rsidR="003F03F9">
        <w:rPr>
          <w:rFonts w:ascii="Garamond" w:hAnsi="Garamond"/>
        </w:rPr>
        <w:t xml:space="preserve">face à la </w:t>
      </w:r>
      <w:r w:rsidR="003F03F9">
        <w:rPr>
          <w:rFonts w:ascii="Garamond" w:hAnsi="Garamond"/>
          <w:i/>
          <w:iCs/>
        </w:rPr>
        <w:t xml:space="preserve">hard </w:t>
      </w:r>
      <w:proofErr w:type="spellStart"/>
      <w:r w:rsidR="003F03F9">
        <w:rPr>
          <w:rFonts w:ascii="Garamond" w:hAnsi="Garamond"/>
          <w:i/>
          <w:iCs/>
        </w:rPr>
        <w:t>law</w:t>
      </w:r>
      <w:proofErr w:type="spellEnd"/>
      <w:r w:rsidR="003F03F9">
        <w:rPr>
          <w:rFonts w:ascii="Garamond" w:hAnsi="Garamond"/>
          <w:i/>
          <w:iCs/>
        </w:rPr>
        <w:t xml:space="preserve"> </w:t>
      </w:r>
      <w:r w:rsidR="003F03F9">
        <w:rPr>
          <w:rFonts w:ascii="Garamond" w:hAnsi="Garamond"/>
        </w:rPr>
        <w:t xml:space="preserve">de l’Union européenne. </w:t>
      </w:r>
      <w:r w:rsidR="003649E0">
        <w:rPr>
          <w:rFonts w:ascii="Garamond" w:hAnsi="Garamond"/>
        </w:rPr>
        <w:t>En outre</w:t>
      </w:r>
      <w:r w:rsidR="00C91B8C">
        <w:rPr>
          <w:rFonts w:ascii="Garamond" w:hAnsi="Garamond"/>
        </w:rPr>
        <w:t xml:space="preserve">, </w:t>
      </w:r>
      <w:r w:rsidR="003F03F9">
        <w:rPr>
          <w:rFonts w:ascii="Garamond" w:hAnsi="Garamond"/>
        </w:rPr>
        <w:t xml:space="preserve">ce qui renforce le caractère moins conflictuel du droit de la Convention, celui-ci n’intervient « qu’en » matière de droits fondamentaux. </w:t>
      </w:r>
      <w:r w:rsidR="00FD74D8">
        <w:rPr>
          <w:rFonts w:ascii="Garamond" w:hAnsi="Garamond"/>
        </w:rPr>
        <w:t>Il est vrai</w:t>
      </w:r>
      <w:r w:rsidR="003F03F9">
        <w:rPr>
          <w:rFonts w:ascii="Garamond" w:hAnsi="Garamond"/>
        </w:rPr>
        <w:t xml:space="preserve"> les droits fondamentaux sont transversaux, mais ils n’en apparaissent pas moins</w:t>
      </w:r>
      <w:r w:rsidR="00F802A8">
        <w:rPr>
          <w:rFonts w:ascii="Garamond" w:hAnsi="Garamond"/>
        </w:rPr>
        <w:t xml:space="preserve"> comme un domaine réduit par rapport à l’ensemble des transferts de compétences </w:t>
      </w:r>
      <w:r w:rsidR="00C77DAE">
        <w:rPr>
          <w:rFonts w:ascii="Garamond" w:hAnsi="Garamond"/>
        </w:rPr>
        <w:t xml:space="preserve">consécutifs au droit de l’Union. De ce </w:t>
      </w:r>
      <w:r w:rsidR="00C77DAE" w:rsidRPr="00C77DAE">
        <w:rPr>
          <w:rFonts w:ascii="Garamond" w:hAnsi="Garamond"/>
          <w:i/>
          <w:iCs/>
        </w:rPr>
        <w:t>soft</w:t>
      </w:r>
      <w:r w:rsidR="00C77DAE">
        <w:rPr>
          <w:rFonts w:ascii="Garamond" w:hAnsi="Garamond"/>
        </w:rPr>
        <w:t xml:space="preserve"> contexte,</w:t>
      </w:r>
      <w:r w:rsidR="00006E1E">
        <w:rPr>
          <w:rFonts w:ascii="Garamond" w:hAnsi="Garamond"/>
        </w:rPr>
        <w:t xml:space="preserve"> du point de vue des juridictions constitutionnelles, </w:t>
      </w:r>
      <w:r w:rsidR="00C77DAE">
        <w:rPr>
          <w:rFonts w:ascii="Garamond" w:hAnsi="Garamond"/>
        </w:rPr>
        <w:t>l’on doit en déduire</w:t>
      </w:r>
      <w:r w:rsidR="00FD74D8">
        <w:rPr>
          <w:rFonts w:ascii="Garamond" w:hAnsi="Garamond"/>
        </w:rPr>
        <w:t>,</w:t>
      </w:r>
      <w:r w:rsidR="00C77DAE">
        <w:rPr>
          <w:rFonts w:ascii="Garamond" w:hAnsi="Garamond"/>
        </w:rPr>
        <w:t xml:space="preserve"> dans l’équilibre primauté constitutionnelle/risque de censure par la Cour européenne des droits de l’homme</w:t>
      </w:r>
      <w:r w:rsidR="00591C8A">
        <w:rPr>
          <w:rFonts w:ascii="Garamond" w:hAnsi="Garamond"/>
        </w:rPr>
        <w:t>,</w:t>
      </w:r>
      <w:r w:rsidR="00006E1E">
        <w:rPr>
          <w:rFonts w:ascii="Garamond" w:hAnsi="Garamond"/>
        </w:rPr>
        <w:t xml:space="preserve"> </w:t>
      </w:r>
      <w:r w:rsidR="00C77DAE">
        <w:rPr>
          <w:rFonts w:ascii="Garamond" w:hAnsi="Garamond"/>
        </w:rPr>
        <w:t>un rapport de force moins prononcé</w:t>
      </w:r>
      <w:r w:rsidR="00CF6EB8">
        <w:rPr>
          <w:rFonts w:ascii="Garamond" w:hAnsi="Garamond"/>
        </w:rPr>
        <w:t xml:space="preserve"> qu’avec le droit de l’Union</w:t>
      </w:r>
      <w:r w:rsidR="00FD74D8">
        <w:rPr>
          <w:rFonts w:ascii="Garamond" w:hAnsi="Garamond"/>
        </w:rPr>
        <w:t>, celui-ci</w:t>
      </w:r>
      <w:r w:rsidR="00CF6EB8">
        <w:rPr>
          <w:rFonts w:ascii="Garamond" w:hAnsi="Garamond"/>
        </w:rPr>
        <w:t xml:space="preserve"> </w:t>
      </w:r>
      <w:r w:rsidR="00515EA3">
        <w:rPr>
          <w:rFonts w:ascii="Garamond" w:hAnsi="Garamond"/>
        </w:rPr>
        <w:t xml:space="preserve">étant à l’origine </w:t>
      </w:r>
      <w:r w:rsidR="00CF6EB8">
        <w:rPr>
          <w:rFonts w:ascii="Garamond" w:hAnsi="Garamond"/>
        </w:rPr>
        <w:t xml:space="preserve">de conflits beaucoup prononcés en termes de mise en cause de la prééminence du droit constitutionnel national. </w:t>
      </w:r>
      <w:r w:rsidR="00915CE1">
        <w:rPr>
          <w:rFonts w:ascii="Garamond" w:hAnsi="Garamond"/>
        </w:rPr>
        <w:t xml:space="preserve">En </w:t>
      </w:r>
      <w:r w:rsidR="00915CE1" w:rsidRPr="008B257D">
        <w:rPr>
          <w:rFonts w:ascii="Garamond" w:hAnsi="Garamond"/>
        </w:rPr>
        <w:t>témoigne d’ailleurs,</w:t>
      </w:r>
      <w:r w:rsidR="00915CE1">
        <w:rPr>
          <w:rFonts w:ascii="Garamond" w:hAnsi="Garamond"/>
        </w:rPr>
        <w:t xml:space="preserve"> en France, une acceptation de la Conventio</w:t>
      </w:r>
      <w:r w:rsidR="008B257D">
        <w:rPr>
          <w:rFonts w:ascii="Garamond" w:hAnsi="Garamond"/>
        </w:rPr>
        <w:t>n</w:t>
      </w:r>
      <w:r w:rsidR="00387817">
        <w:rPr>
          <w:rFonts w:ascii="Garamond" w:hAnsi="Garamond"/>
        </w:rPr>
        <w:t>,</w:t>
      </w:r>
      <w:r w:rsidR="00915CE1">
        <w:rPr>
          <w:rFonts w:ascii="Garamond" w:hAnsi="Garamond"/>
        </w:rPr>
        <w:t xml:space="preserve"> </w:t>
      </w:r>
      <w:r w:rsidR="00387817">
        <w:rPr>
          <w:rFonts w:ascii="Garamond" w:hAnsi="Garamond"/>
        </w:rPr>
        <w:t xml:space="preserve">en pratique, </w:t>
      </w:r>
      <w:r w:rsidR="00915CE1">
        <w:rPr>
          <w:rFonts w:ascii="Garamond" w:hAnsi="Garamond"/>
        </w:rPr>
        <w:t>bien au-delà des prescriptions qu’elle contient, en particulier sur l’autorité des arrêts de la Co</w:t>
      </w:r>
      <w:r w:rsidR="008B257D">
        <w:rPr>
          <w:rFonts w:ascii="Garamond" w:hAnsi="Garamond"/>
        </w:rPr>
        <w:t>ur européenne</w:t>
      </w:r>
      <w:r w:rsidR="001A5A80">
        <w:rPr>
          <w:rStyle w:val="Appelnotedebasdep"/>
          <w:rFonts w:ascii="Garamond" w:hAnsi="Garamond"/>
        </w:rPr>
        <w:footnoteReference w:id="8"/>
      </w:r>
      <w:r w:rsidR="00915CE1">
        <w:rPr>
          <w:rFonts w:ascii="Garamond" w:hAnsi="Garamond"/>
        </w:rPr>
        <w:t>, la Convention ayant</w:t>
      </w:r>
      <w:r w:rsidR="00FD74D8">
        <w:rPr>
          <w:rFonts w:ascii="Garamond" w:hAnsi="Garamond"/>
        </w:rPr>
        <w:t>,</w:t>
      </w:r>
      <w:r w:rsidR="00915CE1">
        <w:rPr>
          <w:rFonts w:ascii="Garamond" w:hAnsi="Garamond"/>
        </w:rPr>
        <w:t xml:space="preserve"> sans doute</w:t>
      </w:r>
      <w:r w:rsidR="00FD74D8">
        <w:rPr>
          <w:rFonts w:ascii="Garamond" w:hAnsi="Garamond"/>
        </w:rPr>
        <w:t>,</w:t>
      </w:r>
      <w:r w:rsidR="00915CE1">
        <w:rPr>
          <w:rFonts w:ascii="Garamond" w:hAnsi="Garamond"/>
        </w:rPr>
        <w:t xml:space="preserve"> profité de la comparaison avec le droit de l’Union.</w:t>
      </w:r>
      <w:r w:rsidR="009D4C5F">
        <w:rPr>
          <w:rFonts w:ascii="Garamond" w:hAnsi="Garamond"/>
        </w:rPr>
        <w:t xml:space="preserve"> Plus exactement, compte tenu de l’objet de la Convention, les conflits entre </w:t>
      </w:r>
      <w:r w:rsidR="00006E1E">
        <w:rPr>
          <w:rFonts w:ascii="Garamond" w:hAnsi="Garamond"/>
        </w:rPr>
        <w:t>C</w:t>
      </w:r>
      <w:r w:rsidR="009D4C5F">
        <w:rPr>
          <w:rFonts w:ascii="Garamond" w:hAnsi="Garamond"/>
        </w:rPr>
        <w:t xml:space="preserve">ours constitutionnelles et Cour européenne sont des conflits d’ordre </w:t>
      </w:r>
      <w:r w:rsidR="009D4C5F" w:rsidRPr="00591C8A">
        <w:rPr>
          <w:rFonts w:ascii="Garamond" w:hAnsi="Garamond"/>
          <w:i/>
          <w:iCs/>
        </w:rPr>
        <w:t>substantiel</w:t>
      </w:r>
      <w:r w:rsidR="009D4C5F">
        <w:rPr>
          <w:rFonts w:ascii="Garamond" w:hAnsi="Garamond"/>
        </w:rPr>
        <w:t xml:space="preserve">, sur l’interprétation des droits fondamentaux, et non pas </w:t>
      </w:r>
      <w:r w:rsidR="009D4C5F" w:rsidRPr="00591C8A">
        <w:rPr>
          <w:rFonts w:ascii="Garamond" w:hAnsi="Garamond"/>
          <w:i/>
          <w:iCs/>
        </w:rPr>
        <w:t xml:space="preserve">structurel </w:t>
      </w:r>
      <w:r w:rsidR="009D4C5F">
        <w:rPr>
          <w:rFonts w:ascii="Garamond" w:hAnsi="Garamond"/>
        </w:rPr>
        <w:t xml:space="preserve">sur les rapports entre le droit interne et le droit de la Convention et les conséquences de ce rapport </w:t>
      </w:r>
    </w:p>
    <w:p w14:paraId="3C40D47B" w14:textId="77777777" w:rsidR="00CF6EB8" w:rsidRDefault="00CF6EB8" w:rsidP="0027498F">
      <w:pPr>
        <w:spacing w:line="340" w:lineRule="exact"/>
        <w:jc w:val="both"/>
        <w:rPr>
          <w:rFonts w:ascii="Garamond" w:hAnsi="Garamond"/>
        </w:rPr>
      </w:pPr>
    </w:p>
    <w:p w14:paraId="1A0DB6F7" w14:textId="71BF6B58" w:rsidR="00CF6EB8" w:rsidRDefault="00CF6EB8" w:rsidP="0027498F">
      <w:pPr>
        <w:spacing w:line="340" w:lineRule="exact"/>
        <w:jc w:val="both"/>
        <w:rPr>
          <w:rFonts w:ascii="Garamond" w:hAnsi="Garamond"/>
        </w:rPr>
      </w:pPr>
      <w:r>
        <w:rPr>
          <w:rFonts w:ascii="Garamond" w:hAnsi="Garamond"/>
        </w:rPr>
        <w:t xml:space="preserve">Il reste que, sous cet angle, la situation de la Russie et celle de la France demeurent profondément différentes : là où il n’y a </w:t>
      </w:r>
      <w:r w:rsidR="003D4990">
        <w:rPr>
          <w:rFonts w:ascii="Garamond" w:hAnsi="Garamond"/>
        </w:rPr>
        <w:t xml:space="preserve">longtemps </w:t>
      </w:r>
      <w:r>
        <w:rPr>
          <w:rFonts w:ascii="Garamond" w:hAnsi="Garamond"/>
        </w:rPr>
        <w:t xml:space="preserve">pas </w:t>
      </w:r>
      <w:r w:rsidR="003D4990">
        <w:rPr>
          <w:rFonts w:ascii="Garamond" w:hAnsi="Garamond"/>
        </w:rPr>
        <w:t xml:space="preserve">eu </w:t>
      </w:r>
      <w:r>
        <w:rPr>
          <w:rFonts w:ascii="Garamond" w:hAnsi="Garamond"/>
        </w:rPr>
        <w:t>de conflit ouvert entre la Constitution et le droit de l</w:t>
      </w:r>
      <w:r w:rsidR="00FD74D8">
        <w:rPr>
          <w:rFonts w:ascii="Garamond" w:hAnsi="Garamond"/>
        </w:rPr>
        <w:t>a Convention européenne des droits de l’homme</w:t>
      </w:r>
      <w:r>
        <w:rPr>
          <w:rFonts w:ascii="Garamond" w:hAnsi="Garamond"/>
        </w:rPr>
        <w:t xml:space="preserve">, en France, la jurisprudence </w:t>
      </w:r>
      <w:r w:rsidRPr="00FD74D8">
        <w:rPr>
          <w:rFonts w:ascii="Garamond" w:hAnsi="Garamond"/>
          <w:i/>
          <w:iCs/>
        </w:rPr>
        <w:t>Confiance dans l’économie numérique</w:t>
      </w:r>
      <w:r w:rsidR="00FD74D8">
        <w:rPr>
          <w:rStyle w:val="Appelnotedebasdep"/>
          <w:rFonts w:ascii="Garamond" w:hAnsi="Garamond"/>
        </w:rPr>
        <w:footnoteReference w:id="9"/>
      </w:r>
      <w:r w:rsidR="00FD74D8">
        <w:rPr>
          <w:rFonts w:ascii="Garamond" w:hAnsi="Garamond"/>
          <w:i/>
          <w:iCs/>
        </w:rPr>
        <w:t xml:space="preserve"> </w:t>
      </w:r>
      <w:r>
        <w:rPr>
          <w:rFonts w:ascii="Garamond" w:hAnsi="Garamond"/>
        </w:rPr>
        <w:t xml:space="preserve">étant réservée au droit de l’Union, le conflit entre la Cour constitutionnelle russe et la Cour européenne aura été tranché de manière radicale, dans la Constitution, </w:t>
      </w:r>
      <w:r w:rsidR="00915CE1">
        <w:rPr>
          <w:rFonts w:ascii="Garamond" w:hAnsi="Garamond"/>
        </w:rPr>
        <w:t>par la révision constitutionnelle du 1</w:t>
      </w:r>
      <w:r w:rsidR="00915CE1" w:rsidRPr="00C4540C">
        <w:rPr>
          <w:rFonts w:ascii="Garamond" w:hAnsi="Garamond"/>
          <w:vertAlign w:val="superscript"/>
        </w:rPr>
        <w:t>er</w:t>
      </w:r>
      <w:r w:rsidR="00915CE1">
        <w:rPr>
          <w:rFonts w:ascii="Garamond" w:hAnsi="Garamond"/>
        </w:rPr>
        <w:t xml:space="preserve"> juillet 2020</w:t>
      </w:r>
      <w:r w:rsidR="00915CE1">
        <w:rPr>
          <w:rStyle w:val="Appelnotedebasdep"/>
          <w:rFonts w:ascii="Garamond" w:hAnsi="Garamond"/>
        </w:rPr>
        <w:footnoteReference w:id="10"/>
      </w:r>
      <w:r w:rsidR="00915CE1">
        <w:rPr>
          <w:rFonts w:ascii="Garamond" w:hAnsi="Garamond"/>
        </w:rPr>
        <w:t xml:space="preserve">, </w:t>
      </w:r>
      <w:r>
        <w:rPr>
          <w:rFonts w:ascii="Garamond" w:hAnsi="Garamond"/>
        </w:rPr>
        <w:t xml:space="preserve">en faveur, en substance, de la prééminence de la Constitution. </w:t>
      </w:r>
      <w:r>
        <w:rPr>
          <w:rFonts w:ascii="Garamond" w:hAnsi="Garamond"/>
        </w:rPr>
        <w:lastRenderedPageBreak/>
        <w:t>Là où le système juridique français s’est accoutumé à un droit d’intégration depuis 1957, celui russe demeurait jusqu’à présent préservé de toute atteinte à sa souveraineté normative</w:t>
      </w:r>
      <w:r w:rsidR="00691B8A">
        <w:rPr>
          <w:rFonts w:ascii="Garamond" w:hAnsi="Garamond"/>
        </w:rPr>
        <w:t>, la ratification de la Convention étant intervenue le 5 mai 1998. Cette résistance russe, plus que radicale, mérite d’être rangé</w:t>
      </w:r>
      <w:r w:rsidR="005D1A32">
        <w:rPr>
          <w:rFonts w:ascii="Garamond" w:hAnsi="Garamond"/>
        </w:rPr>
        <w:t>e, au regard de l’échelle des conflits en droit de l’Union, dans le conflit de la première génération sur la reconnaissance de la primauté de la Convention sur le système interne. Ce conflit a d’ailleurs, ce qui est relativement original, abouti à une révision constitutionnelle de résistance au droit de la Convention</w:t>
      </w:r>
      <w:r w:rsidR="008B257D">
        <w:rPr>
          <w:rFonts w:ascii="Garamond" w:hAnsi="Garamond"/>
        </w:rPr>
        <w:t>,</w:t>
      </w:r>
      <w:r w:rsidR="005D1A32">
        <w:rPr>
          <w:rFonts w:ascii="Garamond" w:hAnsi="Garamond"/>
        </w:rPr>
        <w:t xml:space="preserve"> quand les révisions constitutionnelles génériques des </w:t>
      </w:r>
      <w:r w:rsidR="00FD74D8">
        <w:rPr>
          <w:rFonts w:ascii="Garamond" w:hAnsi="Garamond"/>
        </w:rPr>
        <w:t>États</w:t>
      </w:r>
      <w:r w:rsidR="005D1A32">
        <w:rPr>
          <w:rFonts w:ascii="Garamond" w:hAnsi="Garamond"/>
        </w:rPr>
        <w:t xml:space="preserve"> membres de l’Union ont introduit des clauses d’ouverture au droit de l’Union</w:t>
      </w:r>
      <w:r w:rsidR="00092CAD">
        <w:rPr>
          <w:rFonts w:ascii="Garamond" w:hAnsi="Garamond"/>
        </w:rPr>
        <w:t>. Autrement dit, les conflits n’ont pas seulement mobilisé le juge constitutionnel, laissant ai</w:t>
      </w:r>
      <w:r w:rsidR="00915CE1">
        <w:rPr>
          <w:rFonts w:ascii="Garamond" w:hAnsi="Garamond"/>
        </w:rPr>
        <w:t>n</w:t>
      </w:r>
      <w:r w:rsidR="00092CAD">
        <w:rPr>
          <w:rFonts w:ascii="Garamond" w:hAnsi="Garamond"/>
        </w:rPr>
        <w:t>si la souplesse de l’interprétation jurisprudentielle résoudre les éventuels conflits, mais</w:t>
      </w:r>
      <w:r w:rsidR="00006E1E">
        <w:rPr>
          <w:rFonts w:ascii="Garamond" w:hAnsi="Garamond"/>
        </w:rPr>
        <w:t xml:space="preserve"> également</w:t>
      </w:r>
      <w:r w:rsidR="00092CAD">
        <w:rPr>
          <w:rFonts w:ascii="Garamond" w:hAnsi="Garamond"/>
        </w:rPr>
        <w:t xml:space="preserve"> le pouvoir de révision constitutionnelle, formalisant ainsi dans la rigidité du texte constitutionnel le conflit</w:t>
      </w:r>
      <w:r w:rsidR="00915CE1">
        <w:rPr>
          <w:rFonts w:ascii="Garamond" w:hAnsi="Garamond"/>
        </w:rPr>
        <w:t>.</w:t>
      </w:r>
      <w:r w:rsidR="00715C37">
        <w:rPr>
          <w:rFonts w:ascii="Garamond" w:hAnsi="Garamond"/>
        </w:rPr>
        <w:t xml:space="preserve"> </w:t>
      </w:r>
      <w:r w:rsidR="000F20A2">
        <w:rPr>
          <w:rFonts w:ascii="Garamond" w:hAnsi="Garamond"/>
        </w:rPr>
        <w:t>Cependant,</w:t>
      </w:r>
      <w:r w:rsidR="00715C37">
        <w:rPr>
          <w:rFonts w:ascii="Garamond" w:hAnsi="Garamond"/>
        </w:rPr>
        <w:t xml:space="preserve"> en France, la position relativement favorable du Conseil constitutionnel a fait l’objet d’une évolution, </w:t>
      </w:r>
      <w:r w:rsidR="00387817">
        <w:rPr>
          <w:rFonts w:ascii="Garamond" w:hAnsi="Garamond"/>
        </w:rPr>
        <w:t xml:space="preserve">avec la décision </w:t>
      </w:r>
      <w:r w:rsidR="00387817" w:rsidRPr="00387817">
        <w:rPr>
          <w:rFonts w:ascii="Garamond" w:hAnsi="Garamond"/>
        </w:rPr>
        <w:t xml:space="preserve">du 2 octobre 2020, </w:t>
      </w:r>
      <w:r w:rsidR="00387817" w:rsidRPr="00387817">
        <w:rPr>
          <w:rFonts w:ascii="Garamond" w:hAnsi="Garamond"/>
          <w:i/>
          <w:iCs/>
        </w:rPr>
        <w:t>M. Geoffrey F. et autre,</w:t>
      </w:r>
      <w:r w:rsidR="00387817">
        <w:rPr>
          <w:rFonts w:ascii="Garamond" w:hAnsi="Garamond"/>
        </w:rPr>
        <w:t xml:space="preserve"> </w:t>
      </w:r>
      <w:r w:rsidR="00715C37">
        <w:rPr>
          <w:rFonts w:ascii="Garamond" w:hAnsi="Garamond"/>
        </w:rPr>
        <w:t xml:space="preserve">selon des modalités </w:t>
      </w:r>
      <w:r w:rsidR="000F20A2">
        <w:rPr>
          <w:rFonts w:ascii="Garamond" w:hAnsi="Garamond"/>
        </w:rPr>
        <w:t xml:space="preserve">encore </w:t>
      </w:r>
      <w:r w:rsidR="00715C37">
        <w:rPr>
          <w:rFonts w:ascii="Garamond" w:hAnsi="Garamond"/>
        </w:rPr>
        <w:t>relativement indéterminées</w:t>
      </w:r>
      <w:r w:rsidR="000F20A2">
        <w:rPr>
          <w:rFonts w:ascii="Garamond" w:hAnsi="Garamond"/>
        </w:rPr>
        <w:t>,</w:t>
      </w:r>
      <w:r w:rsidR="00715C37">
        <w:rPr>
          <w:rFonts w:ascii="Garamond" w:hAnsi="Garamond"/>
        </w:rPr>
        <w:t xml:space="preserve"> mais plus </w:t>
      </w:r>
      <w:r w:rsidR="000F20A2">
        <w:rPr>
          <w:rFonts w:ascii="Garamond" w:hAnsi="Garamond"/>
        </w:rPr>
        <w:t>soupl</w:t>
      </w:r>
      <w:r w:rsidR="00715C37">
        <w:rPr>
          <w:rFonts w:ascii="Garamond" w:hAnsi="Garamond"/>
        </w:rPr>
        <w:t>es que celles existantes pour la remise en cause du droit de l’Union, susceptible de remettre en cause les interprétations de la Cour européenne des droits de l’homme</w:t>
      </w:r>
      <w:r w:rsidR="000F20A2">
        <w:rPr>
          <w:rStyle w:val="Appelnotedebasdep"/>
          <w:rFonts w:ascii="Garamond" w:hAnsi="Garamond"/>
        </w:rPr>
        <w:footnoteReference w:id="11"/>
      </w:r>
      <w:r w:rsidR="00715C37">
        <w:rPr>
          <w:rFonts w:ascii="Garamond" w:hAnsi="Garamond"/>
        </w:rPr>
        <w:t xml:space="preserve">. </w:t>
      </w:r>
      <w:r w:rsidR="009D4C5F">
        <w:rPr>
          <w:rFonts w:ascii="Garamond" w:hAnsi="Garamond"/>
        </w:rPr>
        <w:t>Apparaissent ainsi, avec le droit de la Convention européenne</w:t>
      </w:r>
      <w:r w:rsidR="00591C8A">
        <w:rPr>
          <w:rFonts w:ascii="Garamond" w:hAnsi="Garamond"/>
        </w:rPr>
        <w:t>,</w:t>
      </w:r>
      <w:r w:rsidR="009D4C5F">
        <w:rPr>
          <w:rFonts w:ascii="Garamond" w:hAnsi="Garamond"/>
        </w:rPr>
        <w:t xml:space="preserve"> les premiers conflits structurels formalisés</w:t>
      </w:r>
      <w:r w:rsidR="000F20A2">
        <w:rPr>
          <w:rFonts w:ascii="Garamond" w:hAnsi="Garamond"/>
        </w:rPr>
        <w:t>.</w:t>
      </w:r>
    </w:p>
    <w:p w14:paraId="298480A0" w14:textId="680A314C" w:rsidR="00C91B8C" w:rsidRDefault="00C91B8C" w:rsidP="00085044">
      <w:pPr>
        <w:spacing w:line="340" w:lineRule="exact"/>
        <w:rPr>
          <w:rFonts w:ascii="Garamond" w:hAnsi="Garamond"/>
          <w:b/>
          <w:bCs/>
        </w:rPr>
      </w:pPr>
    </w:p>
    <w:p w14:paraId="6A12159C" w14:textId="612824E8" w:rsidR="001D200E" w:rsidRDefault="001D200E" w:rsidP="00255375">
      <w:pPr>
        <w:spacing w:line="340" w:lineRule="exact"/>
        <w:jc w:val="both"/>
        <w:rPr>
          <w:rFonts w:ascii="Garamond" w:hAnsi="Garamond"/>
        </w:rPr>
      </w:pPr>
      <w:r w:rsidRPr="001D200E">
        <w:rPr>
          <w:rFonts w:ascii="Garamond" w:hAnsi="Garamond"/>
        </w:rPr>
        <w:t>Ce</w:t>
      </w:r>
      <w:r w:rsidR="008B655A">
        <w:rPr>
          <w:rFonts w:ascii="Garamond" w:hAnsi="Garamond"/>
        </w:rPr>
        <w:t>tt</w:t>
      </w:r>
      <w:r w:rsidRPr="001D200E">
        <w:rPr>
          <w:rFonts w:ascii="Garamond" w:hAnsi="Garamond"/>
        </w:rPr>
        <w:t>e</w:t>
      </w:r>
      <w:r w:rsidR="008B655A">
        <w:rPr>
          <w:rFonts w:ascii="Garamond" w:hAnsi="Garamond"/>
        </w:rPr>
        <w:t xml:space="preserve"> journée d’études</w:t>
      </w:r>
      <w:r>
        <w:rPr>
          <w:rFonts w:ascii="Garamond" w:hAnsi="Garamond"/>
        </w:rPr>
        <w:t xml:space="preserve"> a choisi d’affronter</w:t>
      </w:r>
      <w:r w:rsidR="0077559A">
        <w:rPr>
          <w:rFonts w:ascii="Garamond" w:hAnsi="Garamond"/>
        </w:rPr>
        <w:t xml:space="preserve"> ces rapports par le prisme de la distinction entre </w:t>
      </w:r>
      <w:r w:rsidR="0077559A" w:rsidRPr="000F20A2">
        <w:rPr>
          <w:rFonts w:ascii="Garamond" w:hAnsi="Garamond"/>
          <w:i/>
          <w:iCs/>
        </w:rPr>
        <w:t>l’application de la Convention</w:t>
      </w:r>
      <w:r w:rsidR="0077559A">
        <w:rPr>
          <w:rFonts w:ascii="Garamond" w:hAnsi="Garamond"/>
        </w:rPr>
        <w:t xml:space="preserve"> et </w:t>
      </w:r>
      <w:r w:rsidR="0077559A" w:rsidRPr="000F20A2">
        <w:rPr>
          <w:rFonts w:ascii="Garamond" w:hAnsi="Garamond"/>
          <w:i/>
          <w:iCs/>
        </w:rPr>
        <w:t>l’exécution des arrêts de la Cour</w:t>
      </w:r>
      <w:r w:rsidR="000F20A2">
        <w:rPr>
          <w:rFonts w:ascii="Garamond" w:hAnsi="Garamond"/>
          <w:i/>
          <w:iCs/>
        </w:rPr>
        <w:t xml:space="preserve"> européenne</w:t>
      </w:r>
      <w:r w:rsidR="0077559A">
        <w:rPr>
          <w:rFonts w:ascii="Garamond" w:hAnsi="Garamond"/>
        </w:rPr>
        <w:t xml:space="preserve">. Cette distinction </w:t>
      </w:r>
      <w:r w:rsidR="00DE3D5D">
        <w:rPr>
          <w:rFonts w:ascii="Garamond" w:hAnsi="Garamond"/>
        </w:rPr>
        <w:t xml:space="preserve">suppose </w:t>
      </w:r>
      <w:r w:rsidR="00D24308">
        <w:rPr>
          <w:rFonts w:ascii="Garamond" w:hAnsi="Garamond"/>
        </w:rPr>
        <w:t xml:space="preserve">qu’il existerait et, surtout, qu’il serait possible de distinguer une </w:t>
      </w:r>
      <w:r w:rsidR="00D24308" w:rsidRPr="000F20A2">
        <w:rPr>
          <w:rFonts w:ascii="Garamond" w:hAnsi="Garamond"/>
          <w:i/>
          <w:iCs/>
        </w:rPr>
        <w:t>application « a</w:t>
      </w:r>
      <w:r w:rsidR="00F51F7B" w:rsidRPr="000F20A2">
        <w:rPr>
          <w:rFonts w:ascii="Garamond" w:hAnsi="Garamond"/>
          <w:i/>
          <w:iCs/>
        </w:rPr>
        <w:t>utonome » de la Convention</w:t>
      </w:r>
      <w:r w:rsidR="00F51F7B">
        <w:rPr>
          <w:rFonts w:ascii="Garamond" w:hAnsi="Garamond"/>
        </w:rPr>
        <w:t xml:space="preserve">, et donc des stipulations de celle-ci, et une </w:t>
      </w:r>
      <w:r w:rsidR="00F51F7B" w:rsidRPr="000F20A2">
        <w:rPr>
          <w:rFonts w:ascii="Garamond" w:hAnsi="Garamond"/>
          <w:i/>
          <w:iCs/>
        </w:rPr>
        <w:t>application contrainte</w:t>
      </w:r>
      <w:r w:rsidR="000F20A2">
        <w:rPr>
          <w:rFonts w:ascii="Garamond" w:hAnsi="Garamond"/>
          <w:i/>
          <w:iCs/>
        </w:rPr>
        <w:t xml:space="preserve"> des arrêts de la Cour européenne</w:t>
      </w:r>
      <w:r w:rsidR="00F51F7B">
        <w:rPr>
          <w:rFonts w:ascii="Garamond" w:hAnsi="Garamond"/>
        </w:rPr>
        <w:t xml:space="preserve">, avec </w:t>
      </w:r>
      <w:r w:rsidR="000F20A2">
        <w:rPr>
          <w:rFonts w:ascii="Garamond" w:hAnsi="Garamond"/>
        </w:rPr>
        <w:t xml:space="preserve">la question de </w:t>
      </w:r>
      <w:r w:rsidR="00F51F7B">
        <w:rPr>
          <w:rFonts w:ascii="Garamond" w:hAnsi="Garamond"/>
        </w:rPr>
        <w:t>l’exécution de</w:t>
      </w:r>
      <w:r w:rsidR="000F20A2">
        <w:rPr>
          <w:rFonts w:ascii="Garamond" w:hAnsi="Garamond"/>
        </w:rPr>
        <w:t xml:space="preserve"> se</w:t>
      </w:r>
      <w:r w:rsidR="00F51F7B">
        <w:rPr>
          <w:rFonts w:ascii="Garamond" w:hAnsi="Garamond"/>
        </w:rPr>
        <w:t xml:space="preserve">s arrêts. </w:t>
      </w:r>
      <w:r w:rsidR="00DE3D5D">
        <w:rPr>
          <w:rFonts w:ascii="Garamond" w:hAnsi="Garamond"/>
        </w:rPr>
        <w:t xml:space="preserve">Elle </w:t>
      </w:r>
      <w:r w:rsidR="0077559A">
        <w:rPr>
          <w:rFonts w:ascii="Garamond" w:hAnsi="Garamond"/>
        </w:rPr>
        <w:t>permet de recouvrir deux situations différentes qui témo</w:t>
      </w:r>
      <w:r w:rsidR="002E17A6">
        <w:rPr>
          <w:rFonts w:ascii="Garamond" w:hAnsi="Garamond"/>
        </w:rPr>
        <w:t>i</w:t>
      </w:r>
      <w:r w:rsidR="0077559A">
        <w:rPr>
          <w:rFonts w:ascii="Garamond" w:hAnsi="Garamond"/>
        </w:rPr>
        <w:t xml:space="preserve">gnent </w:t>
      </w:r>
      <w:r w:rsidR="002E17A6">
        <w:rPr>
          <w:rFonts w:ascii="Garamond" w:hAnsi="Garamond"/>
        </w:rPr>
        <w:t xml:space="preserve">de configurations contentieuses </w:t>
      </w:r>
      <w:r w:rsidR="000F20A2">
        <w:rPr>
          <w:rFonts w:ascii="Garamond" w:hAnsi="Garamond"/>
        </w:rPr>
        <w:t>qui le sont également</w:t>
      </w:r>
      <w:r w:rsidR="002E17A6">
        <w:rPr>
          <w:rFonts w:ascii="Garamond" w:hAnsi="Garamond"/>
        </w:rPr>
        <w:t xml:space="preserve"> et d’un rapport du juge interne avec la norme ou les normes issues du système conventionnel différent. </w:t>
      </w:r>
      <w:r w:rsidR="00D3258F">
        <w:rPr>
          <w:rFonts w:ascii="Garamond" w:hAnsi="Garamond"/>
        </w:rPr>
        <w:t>La distinction application/exécution mérite d’être explicitée</w:t>
      </w:r>
      <w:r w:rsidR="008B655A">
        <w:rPr>
          <w:rFonts w:ascii="Garamond" w:hAnsi="Garamond"/>
        </w:rPr>
        <w:t>,</w:t>
      </w:r>
      <w:r w:rsidR="00D3258F">
        <w:rPr>
          <w:rFonts w:ascii="Garamond" w:hAnsi="Garamond"/>
        </w:rPr>
        <w:t xml:space="preserve"> avant de mettre en évidence la marge de liberté dont dispose le juge national dans ces deux situations faces aux </w:t>
      </w:r>
      <w:r w:rsidR="00387817">
        <w:rPr>
          <w:rFonts w:ascii="Garamond" w:hAnsi="Garamond"/>
        </w:rPr>
        <w:t>stipulation</w:t>
      </w:r>
      <w:r w:rsidR="00D3258F">
        <w:rPr>
          <w:rFonts w:ascii="Garamond" w:hAnsi="Garamond"/>
        </w:rPr>
        <w:t>s issues de la Convention.</w:t>
      </w:r>
    </w:p>
    <w:p w14:paraId="5994B1C9" w14:textId="38754543" w:rsidR="00D3258F" w:rsidRDefault="00D3258F" w:rsidP="00085044">
      <w:pPr>
        <w:spacing w:line="340" w:lineRule="exact"/>
        <w:rPr>
          <w:rFonts w:ascii="Garamond" w:hAnsi="Garamond"/>
        </w:rPr>
      </w:pPr>
    </w:p>
    <w:p w14:paraId="0FF422B2" w14:textId="3235D576" w:rsidR="008B257D" w:rsidRDefault="00D3258F" w:rsidP="00F30932">
      <w:pPr>
        <w:spacing w:line="340" w:lineRule="exact"/>
        <w:jc w:val="both"/>
        <w:rPr>
          <w:rFonts w:ascii="Garamond" w:hAnsi="Garamond"/>
        </w:rPr>
      </w:pPr>
      <w:r>
        <w:rPr>
          <w:rFonts w:ascii="Garamond" w:hAnsi="Garamond"/>
        </w:rPr>
        <w:t>En dissociant l</w:t>
      </w:r>
      <w:proofErr w:type="gramStart"/>
      <w:r>
        <w:rPr>
          <w:rFonts w:ascii="Garamond" w:hAnsi="Garamond"/>
        </w:rPr>
        <w:t>’«</w:t>
      </w:r>
      <w:proofErr w:type="gramEnd"/>
      <w:r>
        <w:rPr>
          <w:rFonts w:ascii="Garamond" w:hAnsi="Garamond"/>
        </w:rPr>
        <w:t> </w:t>
      </w:r>
      <w:r w:rsidRPr="000F20A2">
        <w:rPr>
          <w:rFonts w:ascii="Garamond" w:hAnsi="Garamond"/>
          <w:i/>
          <w:iCs/>
        </w:rPr>
        <w:t>application</w:t>
      </w:r>
      <w:r>
        <w:rPr>
          <w:rFonts w:ascii="Garamond" w:hAnsi="Garamond"/>
        </w:rPr>
        <w:t> » de la Convention de l’« </w:t>
      </w:r>
      <w:r w:rsidRPr="000F20A2">
        <w:rPr>
          <w:rFonts w:ascii="Garamond" w:hAnsi="Garamond"/>
          <w:i/>
          <w:iCs/>
        </w:rPr>
        <w:t>exécution</w:t>
      </w:r>
      <w:r>
        <w:rPr>
          <w:rFonts w:ascii="Garamond" w:hAnsi="Garamond"/>
        </w:rPr>
        <w:t xml:space="preserve"> » des </w:t>
      </w:r>
      <w:r w:rsidR="00F30932">
        <w:rPr>
          <w:rFonts w:ascii="Garamond" w:hAnsi="Garamond"/>
        </w:rPr>
        <w:t>arrêts, cette dernière terminologie étant reprise par l’article 46 de la Convention, deux objets sont distingués, la Convention elle-même et les arrêt</w:t>
      </w:r>
      <w:r w:rsidR="000F20A2">
        <w:rPr>
          <w:rFonts w:ascii="Garamond" w:hAnsi="Garamond"/>
        </w:rPr>
        <w:t>s</w:t>
      </w:r>
      <w:r w:rsidR="00F30932">
        <w:rPr>
          <w:rFonts w:ascii="Garamond" w:hAnsi="Garamond"/>
        </w:rPr>
        <w:t xml:space="preserve"> de la Cour. Il s’agirait alors </w:t>
      </w:r>
      <w:r w:rsidR="00F30932" w:rsidRPr="008B257D">
        <w:rPr>
          <w:rFonts w:ascii="Garamond" w:hAnsi="Garamond"/>
        </w:rPr>
        <w:t>d’</w:t>
      </w:r>
      <w:r w:rsidR="00F30932" w:rsidRPr="008B257D">
        <w:rPr>
          <w:rFonts w:ascii="Garamond" w:hAnsi="Garamond"/>
          <w:i/>
          <w:iCs/>
        </w:rPr>
        <w:t>appliquer la Convention</w:t>
      </w:r>
      <w:r w:rsidR="00F30932">
        <w:rPr>
          <w:rFonts w:ascii="Garamond" w:hAnsi="Garamond"/>
        </w:rPr>
        <w:t xml:space="preserve"> et </w:t>
      </w:r>
      <w:r w:rsidR="00F30932" w:rsidRPr="008B257D">
        <w:rPr>
          <w:rFonts w:ascii="Garamond" w:hAnsi="Garamond"/>
        </w:rPr>
        <w:t>d’</w:t>
      </w:r>
      <w:r w:rsidR="00F30932" w:rsidRPr="008B257D">
        <w:rPr>
          <w:rFonts w:ascii="Garamond" w:hAnsi="Garamond"/>
          <w:i/>
          <w:iCs/>
        </w:rPr>
        <w:t>exécuter les arrêts de la Cour</w:t>
      </w:r>
      <w:r w:rsidR="00F30932">
        <w:rPr>
          <w:rFonts w:ascii="Garamond" w:hAnsi="Garamond"/>
        </w:rPr>
        <w:t xml:space="preserve">. Il y aurait une application autonome de la Convention et une exécution des arrêts de la Cour, au moins, </w:t>
      </w:r>
      <w:r w:rsidR="004A2D5A">
        <w:rPr>
          <w:rFonts w:ascii="Garamond" w:hAnsi="Garamond"/>
        </w:rPr>
        <w:t xml:space="preserve">des arrêts définitifs de la Cour auxquels les </w:t>
      </w:r>
      <w:r w:rsidR="000578BC">
        <w:rPr>
          <w:rFonts w:ascii="Garamond" w:hAnsi="Garamond"/>
        </w:rPr>
        <w:t>États</w:t>
      </w:r>
      <w:r w:rsidR="004A2D5A">
        <w:rPr>
          <w:rFonts w:ascii="Garamond" w:hAnsi="Garamond"/>
        </w:rPr>
        <w:t xml:space="preserve"> sont </w:t>
      </w:r>
      <w:proofErr w:type="gramStart"/>
      <w:r w:rsidR="004A2D5A">
        <w:rPr>
          <w:rFonts w:ascii="Garamond" w:hAnsi="Garamond"/>
        </w:rPr>
        <w:t>parties</w:t>
      </w:r>
      <w:proofErr w:type="gramEnd"/>
      <w:r w:rsidR="004A2D5A">
        <w:rPr>
          <w:rFonts w:ascii="Garamond" w:hAnsi="Garamond"/>
        </w:rPr>
        <w:t xml:space="preserve"> au litige. Cette obligation</w:t>
      </w:r>
      <w:r w:rsidR="000F20A2">
        <w:rPr>
          <w:rFonts w:ascii="Garamond" w:hAnsi="Garamond"/>
        </w:rPr>
        <w:t>,</w:t>
      </w:r>
      <w:r w:rsidR="004A2D5A">
        <w:rPr>
          <w:rFonts w:ascii="Garamond" w:hAnsi="Garamond"/>
        </w:rPr>
        <w:t xml:space="preserve"> posée par l’article 46 de la Convention</w:t>
      </w:r>
      <w:r w:rsidR="000F20A2">
        <w:rPr>
          <w:rFonts w:ascii="Garamond" w:hAnsi="Garamond"/>
        </w:rPr>
        <w:t>,</w:t>
      </w:r>
      <w:r w:rsidR="004A2D5A">
        <w:rPr>
          <w:rFonts w:ascii="Garamond" w:hAnsi="Garamond"/>
        </w:rPr>
        <w:t xml:space="preserve"> semble ainsi conduire à devoir distinguer entre deux types d’arrêts, ceux pour lesquels les </w:t>
      </w:r>
      <w:r w:rsidR="000578BC">
        <w:rPr>
          <w:rFonts w:ascii="Garamond" w:hAnsi="Garamond"/>
        </w:rPr>
        <w:t>États</w:t>
      </w:r>
      <w:r w:rsidR="004A2D5A">
        <w:rPr>
          <w:rFonts w:ascii="Garamond" w:hAnsi="Garamond"/>
        </w:rPr>
        <w:t xml:space="preserve"> sont parties et ceux pour lesquels ils ne le sont pas</w:t>
      </w:r>
      <w:r w:rsidR="00D16F40">
        <w:rPr>
          <w:rFonts w:ascii="Garamond" w:hAnsi="Garamond"/>
        </w:rPr>
        <w:t xml:space="preserve">, </w:t>
      </w:r>
      <w:r w:rsidR="00D16F40">
        <w:rPr>
          <w:rFonts w:ascii="Garamond" w:hAnsi="Garamond"/>
        </w:rPr>
        <w:lastRenderedPageBreak/>
        <w:t xml:space="preserve">les </w:t>
      </w:r>
      <w:r w:rsidR="000578BC">
        <w:rPr>
          <w:rFonts w:ascii="Garamond" w:hAnsi="Garamond"/>
        </w:rPr>
        <w:t>États</w:t>
      </w:r>
      <w:r w:rsidR="00D16F40">
        <w:rPr>
          <w:rFonts w:ascii="Garamond" w:hAnsi="Garamond"/>
        </w:rPr>
        <w:t xml:space="preserve"> n’étant liés, en vertu de cette stipulation, que par les arrêts de la Cour pour lesquels ils </w:t>
      </w:r>
      <w:r w:rsidR="008B257D">
        <w:rPr>
          <w:rFonts w:ascii="Garamond" w:hAnsi="Garamond"/>
        </w:rPr>
        <w:t>so</w:t>
      </w:r>
      <w:r w:rsidR="00D16F40">
        <w:rPr>
          <w:rFonts w:ascii="Garamond" w:hAnsi="Garamond"/>
        </w:rPr>
        <w:t xml:space="preserve">nt parties au litige. </w:t>
      </w:r>
    </w:p>
    <w:p w14:paraId="7570E5D4" w14:textId="77777777" w:rsidR="008B257D" w:rsidRDefault="008B257D" w:rsidP="00F30932">
      <w:pPr>
        <w:spacing w:line="340" w:lineRule="exact"/>
        <w:jc w:val="both"/>
        <w:rPr>
          <w:rFonts w:ascii="Garamond" w:hAnsi="Garamond"/>
        </w:rPr>
      </w:pPr>
    </w:p>
    <w:p w14:paraId="1135E2C7" w14:textId="4A91C22A" w:rsidR="00EF2FD8" w:rsidRDefault="00D433C3" w:rsidP="00EF2FD8">
      <w:pPr>
        <w:spacing w:line="340" w:lineRule="exact"/>
        <w:jc w:val="both"/>
        <w:rPr>
          <w:rFonts w:ascii="Garamond" w:hAnsi="Garamond" w:cs="Times New Roman"/>
          <w:bCs/>
          <w:shd w:val="clear" w:color="auto" w:fill="FFFFFF"/>
        </w:rPr>
      </w:pPr>
      <w:r>
        <w:rPr>
          <w:rFonts w:ascii="Garamond" w:hAnsi="Garamond"/>
        </w:rPr>
        <w:t xml:space="preserve">Sans anticiper sur ce qu’il convient d’exécuter dans un arrêt de la Cour, cette distinction semble pouvoir permettre de distinguer une interprétation nationale </w:t>
      </w:r>
      <w:r w:rsidR="006C7D6D">
        <w:rPr>
          <w:rFonts w:ascii="Garamond" w:hAnsi="Garamond"/>
        </w:rPr>
        <w:t>autonome de la Convention et une interprétation contrainte de la Convention, ce</w:t>
      </w:r>
      <w:r w:rsidR="00387817">
        <w:rPr>
          <w:rFonts w:ascii="Garamond" w:hAnsi="Garamond"/>
        </w:rPr>
        <w:t xml:space="preserve">tte dernière se divisant en une contrainte de fait, ce </w:t>
      </w:r>
      <w:r w:rsidR="006C7D6D">
        <w:rPr>
          <w:rFonts w:ascii="Garamond" w:hAnsi="Garamond"/>
        </w:rPr>
        <w:t xml:space="preserve">qui a pu être qualifié </w:t>
      </w:r>
      <w:r w:rsidR="006C7D6D" w:rsidRPr="00EF2FD8">
        <w:rPr>
          <w:rFonts w:ascii="Garamond" w:hAnsi="Garamond"/>
        </w:rPr>
        <w:t>d’</w:t>
      </w:r>
      <w:r w:rsidR="006C7D6D" w:rsidRPr="00EF2FD8">
        <w:rPr>
          <w:rFonts w:ascii="Garamond" w:hAnsi="Garamond"/>
          <w:i/>
          <w:iCs/>
        </w:rPr>
        <w:t>autorité de chose interprétée</w:t>
      </w:r>
      <w:r w:rsidR="00387817">
        <w:rPr>
          <w:rFonts w:ascii="Garamond" w:hAnsi="Garamond"/>
        </w:rPr>
        <w:t>,</w:t>
      </w:r>
      <w:r w:rsidR="006C7D6D">
        <w:rPr>
          <w:rFonts w:ascii="Garamond" w:hAnsi="Garamond"/>
        </w:rPr>
        <w:t xml:space="preserve"> et </w:t>
      </w:r>
      <w:r w:rsidR="00387817">
        <w:rPr>
          <w:rFonts w:ascii="Garamond" w:hAnsi="Garamond"/>
        </w:rPr>
        <w:t>une contrainte de droit, avec l</w:t>
      </w:r>
      <w:r w:rsidR="006C7D6D" w:rsidRPr="00EF2FD8">
        <w:rPr>
          <w:rFonts w:ascii="Garamond" w:hAnsi="Garamond"/>
        </w:rPr>
        <w:t>’</w:t>
      </w:r>
      <w:r w:rsidR="006C7D6D" w:rsidRPr="00EF2FD8">
        <w:rPr>
          <w:rFonts w:ascii="Garamond" w:hAnsi="Garamond"/>
          <w:i/>
          <w:iCs/>
        </w:rPr>
        <w:t>autorité de chose jugée</w:t>
      </w:r>
      <w:r w:rsidR="006C7D6D">
        <w:rPr>
          <w:rFonts w:ascii="Garamond" w:hAnsi="Garamond"/>
        </w:rPr>
        <w:t xml:space="preserve">. </w:t>
      </w:r>
      <w:r w:rsidR="00EF2FD8">
        <w:rPr>
          <w:rFonts w:ascii="Garamond" w:hAnsi="Garamond"/>
        </w:rPr>
        <w:t xml:space="preserve">Pour éclairer cette </w:t>
      </w:r>
      <w:r w:rsidR="00387817">
        <w:rPr>
          <w:rFonts w:ascii="Garamond" w:hAnsi="Garamond"/>
        </w:rPr>
        <w:t xml:space="preserve">dernière </w:t>
      </w:r>
      <w:r w:rsidR="00EF2FD8">
        <w:rPr>
          <w:rFonts w:ascii="Garamond" w:hAnsi="Garamond"/>
        </w:rPr>
        <w:t xml:space="preserve">distinction, </w:t>
      </w:r>
      <w:r w:rsidR="00EF2FD8">
        <w:rPr>
          <w:rFonts w:ascii="Garamond" w:hAnsi="Garamond" w:cs="Times New Roman"/>
          <w:bCs/>
          <w:shd w:val="clear" w:color="auto" w:fill="FFFFFF"/>
        </w:rPr>
        <w:t xml:space="preserve">il faut établir ici un parallèle entre </w:t>
      </w:r>
      <w:r w:rsidR="00EF2FD8" w:rsidRPr="00F64924">
        <w:rPr>
          <w:rFonts w:ascii="Garamond" w:hAnsi="Garamond" w:cs="Times New Roman"/>
          <w:bCs/>
          <w:i/>
          <w:iCs/>
          <w:shd w:val="clear" w:color="auto" w:fill="FFFFFF"/>
        </w:rPr>
        <w:t>autorité juridique</w:t>
      </w:r>
      <w:r w:rsidR="00EF2FD8">
        <w:rPr>
          <w:rFonts w:ascii="Garamond" w:hAnsi="Garamond" w:cs="Times New Roman"/>
          <w:bCs/>
          <w:shd w:val="clear" w:color="auto" w:fill="FFFFFF"/>
        </w:rPr>
        <w:t xml:space="preserve"> et </w:t>
      </w:r>
      <w:r w:rsidR="00EF2FD8" w:rsidRPr="00F64924">
        <w:rPr>
          <w:rFonts w:ascii="Garamond" w:hAnsi="Garamond" w:cs="Times New Roman"/>
          <w:bCs/>
          <w:i/>
          <w:iCs/>
          <w:shd w:val="clear" w:color="auto" w:fill="FFFFFF"/>
        </w:rPr>
        <w:t>autorité persuasive</w:t>
      </w:r>
      <w:r w:rsidR="008B655A">
        <w:rPr>
          <w:rFonts w:ascii="Garamond" w:hAnsi="Garamond" w:cs="Times New Roman"/>
          <w:bCs/>
          <w:shd w:val="clear" w:color="auto" w:fill="FFFFFF"/>
        </w:rPr>
        <w:t> ;</w:t>
      </w:r>
      <w:r w:rsidR="00EF2FD8">
        <w:rPr>
          <w:rFonts w:ascii="Garamond" w:hAnsi="Garamond" w:cs="Times New Roman"/>
          <w:bCs/>
          <w:shd w:val="clear" w:color="auto" w:fill="FFFFFF"/>
        </w:rPr>
        <w:t xml:space="preserve"> l’équilibre entre les deux </w:t>
      </w:r>
      <w:r w:rsidR="008B655A">
        <w:rPr>
          <w:rFonts w:ascii="Garamond" w:hAnsi="Garamond" w:cs="Times New Roman"/>
          <w:bCs/>
          <w:shd w:val="clear" w:color="auto" w:fill="FFFFFF"/>
        </w:rPr>
        <w:t>étant</w:t>
      </w:r>
      <w:r w:rsidR="00EF2FD8">
        <w:rPr>
          <w:rFonts w:ascii="Garamond" w:hAnsi="Garamond" w:cs="Times New Roman"/>
          <w:bCs/>
          <w:shd w:val="clear" w:color="auto" w:fill="FFFFFF"/>
        </w:rPr>
        <w:t xml:space="preserve"> source de confusion entre ce qui </w:t>
      </w:r>
      <w:r w:rsidR="00EF2FD8" w:rsidRPr="00F64924">
        <w:rPr>
          <w:rFonts w:ascii="Garamond" w:hAnsi="Garamond" w:cs="Times New Roman"/>
          <w:bCs/>
          <w:i/>
          <w:iCs/>
          <w:shd w:val="clear" w:color="auto" w:fill="FFFFFF"/>
        </w:rPr>
        <w:t>doit être</w:t>
      </w:r>
      <w:r w:rsidR="00EF2FD8">
        <w:rPr>
          <w:rFonts w:ascii="Garamond" w:hAnsi="Garamond" w:cs="Times New Roman"/>
          <w:bCs/>
          <w:shd w:val="clear" w:color="auto" w:fill="FFFFFF"/>
        </w:rPr>
        <w:t xml:space="preserve"> et ce qui </w:t>
      </w:r>
      <w:r w:rsidR="00EF2FD8" w:rsidRPr="00F64924">
        <w:rPr>
          <w:rFonts w:ascii="Garamond" w:hAnsi="Garamond" w:cs="Times New Roman"/>
          <w:bCs/>
          <w:i/>
          <w:iCs/>
          <w:shd w:val="clear" w:color="auto" w:fill="FFFFFF"/>
        </w:rPr>
        <w:t>est probable qu’il a</w:t>
      </w:r>
      <w:r w:rsidR="00EF2FD8">
        <w:rPr>
          <w:rFonts w:ascii="Garamond" w:hAnsi="Garamond" w:cs="Times New Roman"/>
          <w:bCs/>
          <w:i/>
          <w:iCs/>
          <w:shd w:val="clear" w:color="auto" w:fill="FFFFFF"/>
        </w:rPr>
        <w:t>dvienne</w:t>
      </w:r>
      <w:r w:rsidR="00EF2FD8">
        <w:rPr>
          <w:rFonts w:ascii="Garamond" w:hAnsi="Garamond" w:cs="Times New Roman"/>
          <w:bCs/>
          <w:shd w:val="clear" w:color="auto" w:fill="FFFFFF"/>
        </w:rPr>
        <w:t xml:space="preserve">. Ce qui </w:t>
      </w:r>
      <w:r w:rsidR="00EF2FD8" w:rsidRPr="00F64924">
        <w:rPr>
          <w:rFonts w:ascii="Garamond" w:hAnsi="Garamond" w:cs="Times New Roman"/>
          <w:bCs/>
          <w:i/>
          <w:iCs/>
          <w:shd w:val="clear" w:color="auto" w:fill="FFFFFF"/>
        </w:rPr>
        <w:t>doit être</w:t>
      </w:r>
      <w:r w:rsidR="00591C8A">
        <w:rPr>
          <w:rFonts w:ascii="Garamond" w:hAnsi="Garamond" w:cs="Times New Roman"/>
          <w:bCs/>
          <w:shd w:val="clear" w:color="auto" w:fill="FFFFFF"/>
        </w:rPr>
        <w:t xml:space="preserve">, </w:t>
      </w:r>
      <w:r w:rsidR="00EF2FD8">
        <w:rPr>
          <w:rFonts w:ascii="Garamond" w:hAnsi="Garamond" w:cs="Times New Roman"/>
          <w:bCs/>
          <w:shd w:val="clear" w:color="auto" w:fill="FFFFFF"/>
        </w:rPr>
        <w:t xml:space="preserve">c’est que les arrêts dans lesquels les États sont parties au litige doivent être respectés, ce qu’il </w:t>
      </w:r>
      <w:r w:rsidR="00EF2FD8" w:rsidRPr="00F64924">
        <w:rPr>
          <w:rFonts w:ascii="Garamond" w:hAnsi="Garamond" w:cs="Times New Roman"/>
          <w:bCs/>
          <w:i/>
          <w:iCs/>
          <w:shd w:val="clear" w:color="auto" w:fill="FFFFFF"/>
        </w:rPr>
        <w:t>est possible qu’il advienne</w:t>
      </w:r>
      <w:r w:rsidR="00EF2FD8">
        <w:rPr>
          <w:rFonts w:ascii="Garamond" w:hAnsi="Garamond" w:cs="Times New Roman"/>
          <w:bCs/>
          <w:shd w:val="clear" w:color="auto" w:fill="FFFFFF"/>
        </w:rPr>
        <w:t>, c’est que si les États ne respectent pas les interprétations de la Cour, ils risquent d’être condamnés.</w:t>
      </w:r>
    </w:p>
    <w:p w14:paraId="715689C8" w14:textId="5B499F2B" w:rsidR="00EF2FD8" w:rsidRDefault="00EF2FD8" w:rsidP="00F30932">
      <w:pPr>
        <w:spacing w:line="340" w:lineRule="exact"/>
        <w:jc w:val="both"/>
        <w:rPr>
          <w:rFonts w:ascii="Garamond" w:hAnsi="Garamond"/>
        </w:rPr>
      </w:pPr>
    </w:p>
    <w:p w14:paraId="05EEDBA2" w14:textId="41A194ED" w:rsidR="00D3258F" w:rsidRDefault="00EF2FD8" w:rsidP="00F30932">
      <w:pPr>
        <w:spacing w:line="340" w:lineRule="exact"/>
        <w:jc w:val="both"/>
        <w:rPr>
          <w:rFonts w:ascii="Garamond" w:hAnsi="Garamond" w:cs="Times New Roman"/>
          <w:bCs/>
          <w:shd w:val="clear" w:color="auto" w:fill="FFFFFF"/>
        </w:rPr>
      </w:pPr>
      <w:r>
        <w:rPr>
          <w:rFonts w:ascii="Garamond" w:hAnsi="Garamond"/>
        </w:rPr>
        <w:t>L’</w:t>
      </w:r>
      <w:r w:rsidR="006C7D6D">
        <w:rPr>
          <w:rFonts w:ascii="Garamond" w:hAnsi="Garamond"/>
        </w:rPr>
        <w:t>autonomie</w:t>
      </w:r>
      <w:r>
        <w:rPr>
          <w:rFonts w:ascii="Garamond" w:hAnsi="Garamond"/>
        </w:rPr>
        <w:t xml:space="preserve"> de l’interprétation de la Convention par les États</w:t>
      </w:r>
      <w:r w:rsidR="006C7D6D">
        <w:rPr>
          <w:rFonts w:ascii="Garamond" w:hAnsi="Garamond"/>
        </w:rPr>
        <w:t xml:space="preserve">, qui résulte de l’article 46 de la Convention, se justifie à plusieurs égards. Elle s’appuie </w:t>
      </w:r>
      <w:r w:rsidR="00EA4F3B">
        <w:rPr>
          <w:rFonts w:ascii="Garamond" w:hAnsi="Garamond"/>
        </w:rPr>
        <w:t>désormais, depuis l’entrée en vigueur du protocole n° 15 à la Convention, sur la reconnaissance, à la fin du préambule de la Convention, de la « marge d’appréciation » des États, sous le contrôle de la Cour, ce qui a pu être qualifié de « responsabilité partagée »</w:t>
      </w:r>
      <w:r w:rsidR="00EA4F3B" w:rsidRPr="00EA4F3B">
        <w:rPr>
          <w:rFonts w:cs="Times New Roman"/>
          <w:bCs/>
          <w:shd w:val="clear" w:color="auto" w:fill="FFFFFF"/>
          <w:vertAlign w:val="superscript"/>
        </w:rPr>
        <w:t xml:space="preserve"> </w:t>
      </w:r>
      <w:r w:rsidR="00EA4F3B" w:rsidRPr="001901D2">
        <w:rPr>
          <w:rFonts w:cs="Times New Roman"/>
          <w:bCs/>
          <w:shd w:val="clear" w:color="auto" w:fill="FFFFFF"/>
          <w:vertAlign w:val="superscript"/>
        </w:rPr>
        <w:footnoteReference w:id="12"/>
      </w:r>
      <w:r w:rsidR="00EA4F3B" w:rsidRPr="001901D2">
        <w:rPr>
          <w:rFonts w:cs="Times New Roman"/>
          <w:bCs/>
          <w:shd w:val="clear" w:color="auto" w:fill="FFFFFF"/>
        </w:rPr>
        <w:t>.</w:t>
      </w:r>
      <w:r w:rsidR="00413DFF">
        <w:rPr>
          <w:rFonts w:cs="Times New Roman"/>
          <w:bCs/>
          <w:shd w:val="clear" w:color="auto" w:fill="FFFFFF"/>
        </w:rPr>
        <w:t xml:space="preserve"> </w:t>
      </w:r>
      <w:r w:rsidR="00413DFF">
        <w:rPr>
          <w:rFonts w:ascii="Garamond" w:hAnsi="Garamond" w:cs="Times New Roman"/>
          <w:bCs/>
          <w:shd w:val="clear" w:color="auto" w:fill="FFFFFF"/>
        </w:rPr>
        <w:t>Le caractère subsidiaire du contrôle de la Cour, consacré par l’article 35 de la Convention, avec la règle de l’épuisement des voies de recours internes</w:t>
      </w:r>
      <w:r w:rsidR="008B257D">
        <w:rPr>
          <w:rFonts w:ascii="Garamond" w:hAnsi="Garamond" w:cs="Times New Roman"/>
          <w:bCs/>
          <w:shd w:val="clear" w:color="auto" w:fill="FFFFFF"/>
        </w:rPr>
        <w:t>, peut également être invoqué dans le sens d’une telle interprétation.</w:t>
      </w:r>
      <w:r>
        <w:rPr>
          <w:rFonts w:ascii="Garamond" w:hAnsi="Garamond" w:cs="Times New Roman"/>
          <w:bCs/>
          <w:shd w:val="clear" w:color="auto" w:fill="FFFFFF"/>
        </w:rPr>
        <w:t xml:space="preserve"> </w:t>
      </w:r>
      <w:r w:rsidR="00DA6DF5">
        <w:rPr>
          <w:rFonts w:ascii="Garamond" w:hAnsi="Garamond" w:cs="Times New Roman"/>
          <w:bCs/>
          <w:shd w:val="clear" w:color="auto" w:fill="FFFFFF"/>
        </w:rPr>
        <w:t>L</w:t>
      </w:r>
      <w:r>
        <w:rPr>
          <w:rFonts w:ascii="Garamond" w:hAnsi="Garamond" w:cs="Times New Roman"/>
          <w:bCs/>
          <w:shd w:val="clear" w:color="auto" w:fill="FFFFFF"/>
        </w:rPr>
        <w:t>’autorité relative des arrêts la Cour, pour les seuls États parties au litige</w:t>
      </w:r>
      <w:r w:rsidR="00DA6DF5">
        <w:rPr>
          <w:rFonts w:ascii="Garamond" w:hAnsi="Garamond" w:cs="Times New Roman"/>
          <w:bCs/>
          <w:shd w:val="clear" w:color="auto" w:fill="FFFFFF"/>
        </w:rPr>
        <w:t xml:space="preserve"> plaide enfin en faveur de cette lecture.</w:t>
      </w:r>
    </w:p>
    <w:p w14:paraId="411A4110" w14:textId="273ED469" w:rsidR="00413DFF" w:rsidRDefault="00413DFF" w:rsidP="00F30932">
      <w:pPr>
        <w:spacing w:line="340" w:lineRule="exact"/>
        <w:jc w:val="both"/>
        <w:rPr>
          <w:rFonts w:ascii="Garamond" w:hAnsi="Garamond" w:cs="Times New Roman"/>
          <w:bCs/>
          <w:shd w:val="clear" w:color="auto" w:fill="FFFFFF"/>
        </w:rPr>
      </w:pPr>
    </w:p>
    <w:p w14:paraId="29C32091" w14:textId="5F16CCAF" w:rsidR="008B655A" w:rsidRDefault="00413DFF" w:rsidP="00F30932">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Si le couple liberté/contrainte dans l’interprétation de la convention semble relativement clair, la distinction application/exécution et même</w:t>
      </w:r>
      <w:r w:rsidR="00552E73">
        <w:rPr>
          <w:rFonts w:ascii="Garamond" w:hAnsi="Garamond" w:cs="Times New Roman"/>
          <w:bCs/>
          <w:shd w:val="clear" w:color="auto" w:fill="FFFFFF"/>
        </w:rPr>
        <w:t>, voire surtout,</w:t>
      </w:r>
      <w:r>
        <w:rPr>
          <w:rFonts w:ascii="Garamond" w:hAnsi="Garamond" w:cs="Times New Roman"/>
          <w:bCs/>
          <w:shd w:val="clear" w:color="auto" w:fill="FFFFFF"/>
        </w:rPr>
        <w:t xml:space="preserve"> la question de l’interprétation</w:t>
      </w:r>
      <w:r w:rsidR="00552E73">
        <w:rPr>
          <w:rFonts w:ascii="Garamond" w:hAnsi="Garamond" w:cs="Times New Roman"/>
          <w:bCs/>
          <w:shd w:val="clear" w:color="auto" w:fill="FFFFFF"/>
        </w:rPr>
        <w:t>,</w:t>
      </w:r>
      <w:r>
        <w:rPr>
          <w:rFonts w:ascii="Garamond" w:hAnsi="Garamond" w:cs="Times New Roman"/>
          <w:bCs/>
          <w:shd w:val="clear" w:color="auto" w:fill="FFFFFF"/>
        </w:rPr>
        <w:t xml:space="preserve"> demeurent plus floues. </w:t>
      </w:r>
      <w:r w:rsidR="00552E73">
        <w:rPr>
          <w:rFonts w:ascii="Garamond" w:hAnsi="Garamond" w:cs="Times New Roman"/>
          <w:bCs/>
          <w:shd w:val="clear" w:color="auto" w:fill="FFFFFF"/>
        </w:rPr>
        <w:t>L’o</w:t>
      </w:r>
      <w:r>
        <w:rPr>
          <w:rFonts w:ascii="Garamond" w:hAnsi="Garamond" w:cs="Times New Roman"/>
          <w:bCs/>
          <w:shd w:val="clear" w:color="auto" w:fill="FFFFFF"/>
        </w:rPr>
        <w:t>n entendra par interprétation l’opération d’attribution de sens à un énoncé lingui</w:t>
      </w:r>
      <w:r w:rsidR="00552E73">
        <w:rPr>
          <w:rFonts w:ascii="Garamond" w:hAnsi="Garamond" w:cs="Times New Roman"/>
          <w:bCs/>
          <w:shd w:val="clear" w:color="auto" w:fill="FFFFFF"/>
        </w:rPr>
        <w:t>s</w:t>
      </w:r>
      <w:r>
        <w:rPr>
          <w:rFonts w:ascii="Garamond" w:hAnsi="Garamond" w:cs="Times New Roman"/>
          <w:bCs/>
          <w:shd w:val="clear" w:color="auto" w:fill="FFFFFF"/>
        </w:rPr>
        <w:t xml:space="preserve">tique, l’énoncé étant ainsi distingué de son interprétation. </w:t>
      </w:r>
      <w:r w:rsidR="00B75771">
        <w:rPr>
          <w:rFonts w:ascii="Garamond" w:hAnsi="Garamond" w:cs="Times New Roman"/>
          <w:bCs/>
          <w:shd w:val="clear" w:color="auto" w:fill="FFFFFF"/>
        </w:rPr>
        <w:t>Il faut</w:t>
      </w:r>
      <w:r w:rsidR="00552E73">
        <w:rPr>
          <w:rFonts w:ascii="Garamond" w:hAnsi="Garamond" w:cs="Times New Roman"/>
          <w:bCs/>
          <w:shd w:val="clear" w:color="auto" w:fill="FFFFFF"/>
        </w:rPr>
        <w:t xml:space="preserve"> </w:t>
      </w:r>
      <w:r w:rsidR="00B75771">
        <w:rPr>
          <w:rFonts w:ascii="Garamond" w:hAnsi="Garamond" w:cs="Times New Roman"/>
          <w:bCs/>
          <w:shd w:val="clear" w:color="auto" w:fill="FFFFFF"/>
        </w:rPr>
        <w:t xml:space="preserve">donc </w:t>
      </w:r>
      <w:r w:rsidR="00552E73">
        <w:rPr>
          <w:rFonts w:ascii="Garamond" w:hAnsi="Garamond" w:cs="Times New Roman"/>
          <w:bCs/>
          <w:shd w:val="clear" w:color="auto" w:fill="FFFFFF"/>
        </w:rPr>
        <w:t>en déduir</w:t>
      </w:r>
      <w:r w:rsidR="00B75771">
        <w:rPr>
          <w:rFonts w:ascii="Garamond" w:hAnsi="Garamond" w:cs="Times New Roman"/>
          <w:bCs/>
          <w:shd w:val="clear" w:color="auto" w:fill="FFFFFF"/>
        </w:rPr>
        <w:t>e</w:t>
      </w:r>
      <w:r w:rsidR="00552E73">
        <w:rPr>
          <w:rFonts w:ascii="Garamond" w:hAnsi="Garamond" w:cs="Times New Roman"/>
          <w:bCs/>
          <w:shd w:val="clear" w:color="auto" w:fill="FFFFFF"/>
        </w:rPr>
        <w:t xml:space="preserve"> que la norme est la signification d’un énoncé, un énoncé prescriptif en l’occurrence. </w:t>
      </w:r>
      <w:r w:rsidR="00DE6A24">
        <w:rPr>
          <w:rFonts w:ascii="Garamond" w:hAnsi="Garamond" w:cs="Times New Roman"/>
          <w:bCs/>
          <w:shd w:val="clear" w:color="auto" w:fill="FFFFFF"/>
        </w:rPr>
        <w:t xml:space="preserve">Dans le prolongement, l’on distinguera une liberté d’interprétation des stipulations de la Convention au profit des autorités nationales et une obligation de suivre l’interprétation retenue par la Cour dans un arrêt concernant un litige où l’État est partie à l’attention des autorités de cet État. </w:t>
      </w:r>
    </w:p>
    <w:p w14:paraId="501DCD67" w14:textId="77777777" w:rsidR="008B655A" w:rsidRDefault="008B655A" w:rsidP="00F30932">
      <w:pPr>
        <w:spacing w:line="340" w:lineRule="exact"/>
        <w:jc w:val="both"/>
        <w:rPr>
          <w:rFonts w:ascii="Garamond" w:hAnsi="Garamond" w:cs="Times New Roman"/>
          <w:bCs/>
          <w:shd w:val="clear" w:color="auto" w:fill="FFFFFF"/>
        </w:rPr>
      </w:pPr>
    </w:p>
    <w:p w14:paraId="7DAE9F36" w14:textId="40DF20DE" w:rsidR="00552E73" w:rsidRDefault="00DE6A24" w:rsidP="00F30932">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Cette dernière situation mérite toutefois d’être discutée. Retenir une interprétation de la Convention conforme à celle retenue par la Cour doit-il être rattaché à une exécution de l’arrêt</w:t>
      </w:r>
      <w:r w:rsidR="00552E73">
        <w:rPr>
          <w:rFonts w:ascii="Garamond" w:hAnsi="Garamond" w:cs="Times New Roman"/>
          <w:bCs/>
          <w:shd w:val="clear" w:color="auto" w:fill="FFFFFF"/>
        </w:rPr>
        <w:t> ? L</w:t>
      </w:r>
      <w:r>
        <w:rPr>
          <w:rFonts w:ascii="Garamond" w:hAnsi="Garamond" w:cs="Times New Roman"/>
          <w:bCs/>
          <w:shd w:val="clear" w:color="auto" w:fill="FFFFFF"/>
        </w:rPr>
        <w:t xml:space="preserve">’exécution semble devoir plutôt se rattacher au dispositif d’un arrêt, c’est le dispositif, la norme individuelle et concrète posé par l’arrêt qui doit être exécutée. À proprement parler, </w:t>
      </w:r>
      <w:r w:rsidR="009036DB">
        <w:rPr>
          <w:rFonts w:ascii="Garamond" w:hAnsi="Garamond" w:cs="Times New Roman"/>
          <w:bCs/>
          <w:shd w:val="clear" w:color="auto" w:fill="FFFFFF"/>
        </w:rPr>
        <w:t xml:space="preserve">on </w:t>
      </w:r>
      <w:r w:rsidR="00A50036">
        <w:rPr>
          <w:rFonts w:ascii="Garamond" w:hAnsi="Garamond" w:cs="Times New Roman"/>
          <w:bCs/>
          <w:shd w:val="clear" w:color="auto" w:fill="FFFFFF"/>
        </w:rPr>
        <w:t>n</w:t>
      </w:r>
      <w:proofErr w:type="gramStart"/>
      <w:r w:rsidR="00A50036">
        <w:rPr>
          <w:rFonts w:ascii="Garamond" w:hAnsi="Garamond" w:cs="Times New Roman"/>
          <w:bCs/>
          <w:shd w:val="clear" w:color="auto" w:fill="FFFFFF"/>
        </w:rPr>
        <w:t>’</w:t>
      </w:r>
      <w:r w:rsidR="009036DB">
        <w:rPr>
          <w:rFonts w:ascii="Garamond" w:hAnsi="Garamond" w:cs="Times New Roman"/>
          <w:bCs/>
          <w:shd w:val="clear" w:color="auto" w:fill="FFFFFF"/>
        </w:rPr>
        <w:t>«</w:t>
      </w:r>
      <w:proofErr w:type="gramEnd"/>
      <w:r w:rsidR="009036DB">
        <w:rPr>
          <w:rFonts w:ascii="Garamond" w:hAnsi="Garamond" w:cs="Times New Roman"/>
          <w:bCs/>
          <w:shd w:val="clear" w:color="auto" w:fill="FFFFFF"/>
        </w:rPr>
        <w:t> exécute » pas une interprétation</w:t>
      </w:r>
      <w:r w:rsidR="00552E73">
        <w:rPr>
          <w:rFonts w:ascii="Garamond" w:hAnsi="Garamond" w:cs="Times New Roman"/>
          <w:bCs/>
          <w:shd w:val="clear" w:color="auto" w:fill="FFFFFF"/>
        </w:rPr>
        <w:t xml:space="preserve"> ou, plus exactement, nous y reviendrons, une concrétisation jurisprudentielle d’un énoncé textuel, mais la norme posée dans le dispositif de la décision</w:t>
      </w:r>
      <w:r w:rsidR="009036DB">
        <w:rPr>
          <w:rFonts w:ascii="Garamond" w:hAnsi="Garamond" w:cs="Times New Roman"/>
          <w:bCs/>
          <w:shd w:val="clear" w:color="auto" w:fill="FFFFFF"/>
        </w:rPr>
        <w:t xml:space="preserve"> </w:t>
      </w:r>
      <w:r w:rsidR="00552E73">
        <w:rPr>
          <w:rFonts w:ascii="Garamond" w:hAnsi="Garamond" w:cs="Times New Roman"/>
          <w:bCs/>
          <w:shd w:val="clear" w:color="auto" w:fill="FFFFFF"/>
        </w:rPr>
        <w:t>de justice</w:t>
      </w:r>
      <w:r w:rsidR="009036DB">
        <w:rPr>
          <w:rFonts w:ascii="Garamond" w:hAnsi="Garamond" w:cs="Times New Roman"/>
          <w:bCs/>
          <w:shd w:val="clear" w:color="auto" w:fill="FFFFFF"/>
        </w:rPr>
        <w:t xml:space="preserve">. </w:t>
      </w:r>
      <w:r w:rsidR="005B4043">
        <w:rPr>
          <w:rFonts w:ascii="Garamond" w:hAnsi="Garamond" w:cs="Times New Roman"/>
          <w:bCs/>
          <w:shd w:val="clear" w:color="auto" w:fill="FFFFFF"/>
        </w:rPr>
        <w:t>L’exécution d’un arrêt renvoie aux conséquences juridiques qu’un État doit tirer de la norme posée par le juge</w:t>
      </w:r>
      <w:r w:rsidR="008B655A">
        <w:rPr>
          <w:rFonts w:ascii="Garamond" w:hAnsi="Garamond" w:cs="Times New Roman"/>
          <w:bCs/>
          <w:shd w:val="clear" w:color="auto" w:fill="FFFFFF"/>
        </w:rPr>
        <w:t xml:space="preserve">, </w:t>
      </w:r>
      <w:r w:rsidR="008B655A">
        <w:rPr>
          <w:rFonts w:ascii="Garamond" w:hAnsi="Garamond" w:cs="Times New Roman"/>
          <w:bCs/>
          <w:shd w:val="clear" w:color="auto" w:fill="FFFFFF"/>
        </w:rPr>
        <w:lastRenderedPageBreak/>
        <w:t>qui résout le litige qu’il doit trancher</w:t>
      </w:r>
      <w:r w:rsidR="005B4043">
        <w:rPr>
          <w:rFonts w:ascii="Garamond" w:hAnsi="Garamond" w:cs="Times New Roman"/>
          <w:bCs/>
          <w:shd w:val="clear" w:color="auto" w:fill="FFFFFF"/>
        </w:rPr>
        <w:t xml:space="preserve">. </w:t>
      </w:r>
      <w:r w:rsidR="00552E73">
        <w:rPr>
          <w:rFonts w:ascii="Garamond" w:hAnsi="Garamond" w:cs="Times New Roman"/>
          <w:bCs/>
          <w:shd w:val="clear" w:color="auto" w:fill="FFFFFF"/>
        </w:rPr>
        <w:t>Sur la question de l’exécution des arrêts, il ne faut pas s’y tromper, la Convention plac</w:t>
      </w:r>
      <w:r w:rsidR="00A50036">
        <w:rPr>
          <w:rFonts w:ascii="Garamond" w:hAnsi="Garamond" w:cs="Times New Roman"/>
          <w:bCs/>
          <w:shd w:val="clear" w:color="auto" w:fill="FFFFFF"/>
        </w:rPr>
        <w:t>e au cœur de cette opération</w:t>
      </w:r>
      <w:r w:rsidR="008B257D">
        <w:rPr>
          <w:rFonts w:ascii="Garamond" w:hAnsi="Garamond" w:cs="Times New Roman"/>
          <w:bCs/>
          <w:shd w:val="clear" w:color="auto" w:fill="FFFFFF"/>
        </w:rPr>
        <w:t xml:space="preserve"> d’exécution</w:t>
      </w:r>
      <w:r w:rsidR="00A50036">
        <w:rPr>
          <w:rFonts w:ascii="Garamond" w:hAnsi="Garamond" w:cs="Times New Roman"/>
          <w:bCs/>
          <w:shd w:val="clear" w:color="auto" w:fill="FFFFFF"/>
        </w:rPr>
        <w:t xml:space="preserve"> un organe politique</w:t>
      </w:r>
      <w:r w:rsidR="00B75771">
        <w:rPr>
          <w:rFonts w:ascii="Garamond" w:hAnsi="Garamond" w:cs="Times New Roman"/>
          <w:bCs/>
          <w:shd w:val="clear" w:color="auto" w:fill="FFFFFF"/>
        </w:rPr>
        <w:t> :</w:t>
      </w:r>
      <w:r w:rsidR="00A50036">
        <w:rPr>
          <w:rFonts w:ascii="Garamond" w:hAnsi="Garamond" w:cs="Times New Roman"/>
          <w:bCs/>
          <w:shd w:val="clear" w:color="auto" w:fill="FFFFFF"/>
        </w:rPr>
        <w:t xml:space="preserve"> le Comité des ministres. </w:t>
      </w:r>
      <w:r w:rsidR="008B257D">
        <w:rPr>
          <w:rFonts w:ascii="Garamond" w:hAnsi="Garamond" w:cs="Times New Roman"/>
          <w:bCs/>
          <w:shd w:val="clear" w:color="auto" w:fill="FFFFFF"/>
        </w:rPr>
        <w:t>Autrement dit, l’étape d’exécution de l’arrêt ne découle pas directement et immédiatement de l’arrêt</w:t>
      </w:r>
      <w:r w:rsidR="00C876A2">
        <w:rPr>
          <w:rFonts w:ascii="Garamond" w:hAnsi="Garamond" w:cs="Times New Roman"/>
          <w:bCs/>
          <w:shd w:val="clear" w:color="auto" w:fill="FFFFFF"/>
        </w:rPr>
        <w:t xml:space="preserve"> ; elle n’est pas seulement une question de respect de l’interprétation donnée par la Cour, elle est une opération, distincte, confiée par le système conventionnel à un autre organe que la Cour, </w:t>
      </w:r>
      <w:r w:rsidR="00B75771">
        <w:rPr>
          <w:rFonts w:ascii="Garamond" w:hAnsi="Garamond" w:cs="Times New Roman"/>
          <w:bCs/>
          <w:shd w:val="clear" w:color="auto" w:fill="FFFFFF"/>
        </w:rPr>
        <w:t xml:space="preserve">à savoir </w:t>
      </w:r>
      <w:r w:rsidR="00C876A2">
        <w:rPr>
          <w:rFonts w:ascii="Garamond" w:hAnsi="Garamond" w:cs="Times New Roman"/>
          <w:bCs/>
          <w:shd w:val="clear" w:color="auto" w:fill="FFFFFF"/>
        </w:rPr>
        <w:t xml:space="preserve">le Conseil des ministres. </w:t>
      </w:r>
      <w:r w:rsidR="00A50036">
        <w:rPr>
          <w:rFonts w:ascii="Garamond" w:hAnsi="Garamond" w:cs="Times New Roman"/>
          <w:bCs/>
          <w:shd w:val="clear" w:color="auto" w:fill="FFFFFF"/>
        </w:rPr>
        <w:t>Sous un angle différent, mais tout aussi décisif, selon le système conventionnel, l’</w:t>
      </w:r>
      <w:r w:rsidR="00C876A2">
        <w:rPr>
          <w:rFonts w:ascii="Garamond" w:hAnsi="Garamond" w:cs="Times New Roman"/>
          <w:bCs/>
          <w:shd w:val="clear" w:color="auto" w:fill="FFFFFF"/>
        </w:rPr>
        <w:t>on retiendra que l’</w:t>
      </w:r>
      <w:r w:rsidR="00A50036">
        <w:rPr>
          <w:rFonts w:ascii="Garamond" w:hAnsi="Garamond" w:cs="Times New Roman"/>
          <w:bCs/>
          <w:shd w:val="clear" w:color="auto" w:fill="FFFFFF"/>
        </w:rPr>
        <w:t xml:space="preserve">exécution d’un arrêt de la Cour auquel les États sont </w:t>
      </w:r>
      <w:proofErr w:type="gramStart"/>
      <w:r w:rsidR="00A50036">
        <w:rPr>
          <w:rFonts w:ascii="Garamond" w:hAnsi="Garamond" w:cs="Times New Roman"/>
          <w:bCs/>
          <w:shd w:val="clear" w:color="auto" w:fill="FFFFFF"/>
        </w:rPr>
        <w:t>parties</w:t>
      </w:r>
      <w:proofErr w:type="gramEnd"/>
      <w:r w:rsidR="00A50036">
        <w:rPr>
          <w:rFonts w:ascii="Garamond" w:hAnsi="Garamond" w:cs="Times New Roman"/>
          <w:bCs/>
          <w:shd w:val="clear" w:color="auto" w:fill="FFFFFF"/>
        </w:rPr>
        <w:t xml:space="preserve"> ne résulte pas de l’arrêt lui-même, mais de l’intervention d’un autre organe, politique, le Conseil des ministres</w:t>
      </w:r>
      <w:r w:rsidR="00C5560E">
        <w:rPr>
          <w:rStyle w:val="Appelnotedebasdep"/>
          <w:rFonts w:ascii="Garamond" w:hAnsi="Garamond" w:cs="Times New Roman"/>
          <w:bCs/>
          <w:shd w:val="clear" w:color="auto" w:fill="FFFFFF"/>
        </w:rPr>
        <w:footnoteReference w:id="13"/>
      </w:r>
      <w:r w:rsidR="00A50036">
        <w:rPr>
          <w:rFonts w:ascii="Garamond" w:hAnsi="Garamond" w:cs="Times New Roman"/>
          <w:bCs/>
          <w:shd w:val="clear" w:color="auto" w:fill="FFFFFF"/>
        </w:rPr>
        <w:t>.</w:t>
      </w:r>
    </w:p>
    <w:p w14:paraId="4FAEC596" w14:textId="77777777" w:rsidR="00552E73" w:rsidRDefault="00552E73" w:rsidP="00F30932">
      <w:pPr>
        <w:spacing w:line="340" w:lineRule="exact"/>
        <w:jc w:val="both"/>
        <w:rPr>
          <w:rFonts w:ascii="Garamond" w:hAnsi="Garamond" w:cs="Times New Roman"/>
          <w:bCs/>
          <w:shd w:val="clear" w:color="auto" w:fill="FFFFFF"/>
        </w:rPr>
      </w:pPr>
    </w:p>
    <w:p w14:paraId="23942DF9" w14:textId="63994189" w:rsidR="00C33C42" w:rsidRDefault="009036DB" w:rsidP="00F30932">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 xml:space="preserve">Il convient </w:t>
      </w:r>
      <w:r w:rsidR="00552E73">
        <w:rPr>
          <w:rFonts w:ascii="Garamond" w:hAnsi="Garamond" w:cs="Times New Roman"/>
          <w:bCs/>
          <w:shd w:val="clear" w:color="auto" w:fill="FFFFFF"/>
        </w:rPr>
        <w:t xml:space="preserve">alors </w:t>
      </w:r>
      <w:r>
        <w:rPr>
          <w:rFonts w:ascii="Garamond" w:hAnsi="Garamond" w:cs="Times New Roman"/>
          <w:bCs/>
          <w:shd w:val="clear" w:color="auto" w:fill="FFFFFF"/>
        </w:rPr>
        <w:t>de bien distinguer les fonctions différentes qu’il convient d’accorder au</w:t>
      </w:r>
      <w:r w:rsidR="008D6CD6">
        <w:rPr>
          <w:rFonts w:ascii="Garamond" w:hAnsi="Garamond" w:cs="Times New Roman"/>
          <w:bCs/>
          <w:shd w:val="clear" w:color="auto" w:fill="FFFFFF"/>
        </w:rPr>
        <w:t>x</w:t>
      </w:r>
      <w:r>
        <w:rPr>
          <w:rFonts w:ascii="Garamond" w:hAnsi="Garamond" w:cs="Times New Roman"/>
          <w:bCs/>
          <w:shd w:val="clear" w:color="auto" w:fill="FFFFFF"/>
        </w:rPr>
        <w:t xml:space="preserve"> motifs d’une décision, qui </w:t>
      </w:r>
      <w:r w:rsidR="00C33C42">
        <w:rPr>
          <w:rFonts w:ascii="Garamond" w:hAnsi="Garamond" w:cs="Times New Roman"/>
          <w:bCs/>
          <w:shd w:val="clear" w:color="auto" w:fill="FFFFFF"/>
        </w:rPr>
        <w:t>r</w:t>
      </w:r>
      <w:r>
        <w:rPr>
          <w:rFonts w:ascii="Garamond" w:hAnsi="Garamond" w:cs="Times New Roman"/>
          <w:bCs/>
          <w:shd w:val="clear" w:color="auto" w:fill="FFFFFF"/>
        </w:rPr>
        <w:t>elève de la justification de la décision, et</w:t>
      </w:r>
      <w:r w:rsidR="008B655A">
        <w:rPr>
          <w:rFonts w:ascii="Garamond" w:hAnsi="Garamond" w:cs="Times New Roman"/>
          <w:bCs/>
          <w:shd w:val="clear" w:color="auto" w:fill="FFFFFF"/>
        </w:rPr>
        <w:t xml:space="preserve"> à</w:t>
      </w:r>
      <w:r>
        <w:rPr>
          <w:rFonts w:ascii="Garamond" w:hAnsi="Garamond" w:cs="Times New Roman"/>
          <w:bCs/>
          <w:shd w:val="clear" w:color="auto" w:fill="FFFFFF"/>
        </w:rPr>
        <w:t xml:space="preserve"> la décision proprement dite, la norme posée par le juge, à savoir ce qu’impose la règle générale dans un cas particuliers. Du moins, telle est la lecture théorique que l’on peut proposer de la fonction de juger qui consiste précisément à concrétiser une norme générale et abstraite en indiq</w:t>
      </w:r>
      <w:r w:rsidR="00A50036">
        <w:rPr>
          <w:rFonts w:ascii="Garamond" w:hAnsi="Garamond" w:cs="Times New Roman"/>
          <w:bCs/>
          <w:shd w:val="clear" w:color="auto" w:fill="FFFFFF"/>
        </w:rPr>
        <w:t>u</w:t>
      </w:r>
      <w:r>
        <w:rPr>
          <w:rFonts w:ascii="Garamond" w:hAnsi="Garamond" w:cs="Times New Roman"/>
          <w:bCs/>
          <w:shd w:val="clear" w:color="auto" w:fill="FFFFFF"/>
        </w:rPr>
        <w:t>ant ce qu’elle permet, interdit ou rend obligatoire dans une situation dé</w:t>
      </w:r>
      <w:r w:rsidR="00AF2F34">
        <w:rPr>
          <w:rFonts w:ascii="Garamond" w:hAnsi="Garamond" w:cs="Times New Roman"/>
          <w:bCs/>
          <w:shd w:val="clear" w:color="auto" w:fill="FFFFFF"/>
        </w:rPr>
        <w:t>t</w:t>
      </w:r>
      <w:r>
        <w:rPr>
          <w:rFonts w:ascii="Garamond" w:hAnsi="Garamond" w:cs="Times New Roman"/>
          <w:bCs/>
          <w:shd w:val="clear" w:color="auto" w:fill="FFFFFF"/>
        </w:rPr>
        <w:t>e</w:t>
      </w:r>
      <w:r w:rsidR="00AF2F34">
        <w:rPr>
          <w:rFonts w:ascii="Garamond" w:hAnsi="Garamond" w:cs="Times New Roman"/>
          <w:bCs/>
          <w:shd w:val="clear" w:color="auto" w:fill="FFFFFF"/>
        </w:rPr>
        <w:t>r</w:t>
      </w:r>
      <w:r>
        <w:rPr>
          <w:rFonts w:ascii="Garamond" w:hAnsi="Garamond" w:cs="Times New Roman"/>
          <w:bCs/>
          <w:shd w:val="clear" w:color="auto" w:fill="FFFFFF"/>
        </w:rPr>
        <w:t xml:space="preserve">minée. </w:t>
      </w:r>
      <w:r w:rsidR="00A50036">
        <w:rPr>
          <w:rFonts w:ascii="Garamond" w:hAnsi="Garamond" w:cs="Times New Roman"/>
          <w:bCs/>
          <w:shd w:val="clear" w:color="auto" w:fill="FFFFFF"/>
        </w:rPr>
        <w:t>Dans cette perspective, s’il est une norme posée par le juge, il ne saurait s’agir que d’une norme individuelle et concrète</w:t>
      </w:r>
      <w:r w:rsidR="00314A36">
        <w:rPr>
          <w:rFonts w:ascii="Garamond" w:hAnsi="Garamond" w:cs="Times New Roman"/>
          <w:bCs/>
          <w:shd w:val="clear" w:color="auto" w:fill="FFFFFF"/>
        </w:rPr>
        <w:t>, réglant le litige que d</w:t>
      </w:r>
      <w:r w:rsidR="00C876A2">
        <w:rPr>
          <w:rFonts w:ascii="Garamond" w:hAnsi="Garamond" w:cs="Times New Roman"/>
          <w:bCs/>
          <w:shd w:val="clear" w:color="auto" w:fill="FFFFFF"/>
        </w:rPr>
        <w:t>o</w:t>
      </w:r>
      <w:r w:rsidR="00314A36">
        <w:rPr>
          <w:rFonts w:ascii="Garamond" w:hAnsi="Garamond" w:cs="Times New Roman"/>
          <w:bCs/>
          <w:shd w:val="clear" w:color="auto" w:fill="FFFFFF"/>
        </w:rPr>
        <w:t>it résoudre le juge.</w:t>
      </w:r>
    </w:p>
    <w:p w14:paraId="5371AB0F" w14:textId="77777777" w:rsidR="00C33C42" w:rsidRDefault="00C33C42" w:rsidP="00F30932">
      <w:pPr>
        <w:spacing w:line="340" w:lineRule="exact"/>
        <w:jc w:val="both"/>
        <w:rPr>
          <w:rFonts w:ascii="Garamond" w:hAnsi="Garamond" w:cs="Times New Roman"/>
          <w:bCs/>
          <w:shd w:val="clear" w:color="auto" w:fill="FFFFFF"/>
        </w:rPr>
      </w:pPr>
    </w:p>
    <w:p w14:paraId="30679291" w14:textId="1BC47B48" w:rsidR="00413DFF" w:rsidRDefault="009036DB" w:rsidP="00F30932">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Cette concrétisation juridictionnelle nécessite plusieurs appréciation</w:t>
      </w:r>
      <w:r w:rsidR="008D6CD6">
        <w:rPr>
          <w:rFonts w:ascii="Garamond" w:hAnsi="Garamond" w:cs="Times New Roman"/>
          <w:bCs/>
          <w:shd w:val="clear" w:color="auto" w:fill="FFFFFF"/>
        </w:rPr>
        <w:t>s</w:t>
      </w:r>
      <w:r>
        <w:rPr>
          <w:rFonts w:ascii="Garamond" w:hAnsi="Garamond" w:cs="Times New Roman"/>
          <w:bCs/>
          <w:shd w:val="clear" w:color="auto" w:fill="FFFFFF"/>
        </w:rPr>
        <w:t xml:space="preserve"> de la part du juge : </w:t>
      </w:r>
      <w:r w:rsidR="008D6CD6">
        <w:rPr>
          <w:rFonts w:ascii="Garamond" w:hAnsi="Garamond" w:cs="Times New Roman"/>
          <w:bCs/>
          <w:shd w:val="clear" w:color="auto" w:fill="FFFFFF"/>
        </w:rPr>
        <w:t>l’établissement</w:t>
      </w:r>
      <w:r w:rsidR="00AF2F34">
        <w:rPr>
          <w:rFonts w:ascii="Garamond" w:hAnsi="Garamond" w:cs="Times New Roman"/>
          <w:bCs/>
          <w:shd w:val="clear" w:color="auto" w:fill="FFFFFF"/>
        </w:rPr>
        <w:t xml:space="preserve">/la constitution </w:t>
      </w:r>
      <w:r>
        <w:rPr>
          <w:rFonts w:ascii="Garamond" w:hAnsi="Garamond" w:cs="Times New Roman"/>
          <w:bCs/>
          <w:shd w:val="clear" w:color="auto" w:fill="FFFFFF"/>
        </w:rPr>
        <w:t xml:space="preserve">des </w:t>
      </w:r>
      <w:r w:rsidR="00E1107B">
        <w:rPr>
          <w:rFonts w:ascii="Garamond" w:hAnsi="Garamond" w:cs="Times New Roman"/>
          <w:bCs/>
          <w:shd w:val="clear" w:color="auto" w:fill="FFFFFF"/>
        </w:rPr>
        <w:t>éléments</w:t>
      </w:r>
      <w:r>
        <w:rPr>
          <w:rFonts w:ascii="Garamond" w:hAnsi="Garamond" w:cs="Times New Roman"/>
          <w:bCs/>
          <w:shd w:val="clear" w:color="auto" w:fill="FFFFFF"/>
        </w:rPr>
        <w:t xml:space="preserve"> du litige</w:t>
      </w:r>
      <w:r w:rsidR="00C876A2">
        <w:rPr>
          <w:rFonts w:ascii="Garamond" w:hAnsi="Garamond" w:cs="Times New Roman"/>
          <w:bCs/>
          <w:shd w:val="clear" w:color="auto" w:fill="FFFFFF"/>
        </w:rPr>
        <w:t>, ce que l’on qualifiera de</w:t>
      </w:r>
      <w:r w:rsidR="00C33C42">
        <w:rPr>
          <w:rFonts w:ascii="Garamond" w:hAnsi="Garamond" w:cs="Times New Roman"/>
          <w:bCs/>
          <w:shd w:val="clear" w:color="auto" w:fill="FFFFFF"/>
        </w:rPr>
        <w:t xml:space="preserve"> </w:t>
      </w:r>
      <w:r w:rsidR="00C33C42" w:rsidRPr="00314A36">
        <w:rPr>
          <w:rFonts w:ascii="Garamond" w:hAnsi="Garamond" w:cs="Times New Roman"/>
          <w:bCs/>
          <w:i/>
          <w:iCs/>
          <w:shd w:val="clear" w:color="auto" w:fill="FFFFFF"/>
        </w:rPr>
        <w:t xml:space="preserve">constitution </w:t>
      </w:r>
      <w:r w:rsidR="00E1107B">
        <w:rPr>
          <w:rFonts w:ascii="Garamond" w:hAnsi="Garamond" w:cs="Times New Roman"/>
          <w:bCs/>
          <w:i/>
          <w:iCs/>
          <w:shd w:val="clear" w:color="auto" w:fill="FFFFFF"/>
        </w:rPr>
        <w:t>des éléments</w:t>
      </w:r>
      <w:r w:rsidR="00AF2F34" w:rsidRPr="00314A36">
        <w:rPr>
          <w:rFonts w:ascii="Garamond" w:hAnsi="Garamond" w:cs="Times New Roman"/>
          <w:bCs/>
          <w:i/>
          <w:iCs/>
          <w:shd w:val="clear" w:color="auto" w:fill="FFFFFF"/>
        </w:rPr>
        <w:t xml:space="preserve"> </w:t>
      </w:r>
      <w:r w:rsidR="00C33C42" w:rsidRPr="00314A36">
        <w:rPr>
          <w:rFonts w:ascii="Garamond" w:hAnsi="Garamond" w:cs="Times New Roman"/>
          <w:bCs/>
          <w:i/>
          <w:iCs/>
          <w:shd w:val="clear" w:color="auto" w:fill="FFFFFF"/>
        </w:rPr>
        <w:t>du litige</w:t>
      </w:r>
      <w:r w:rsidR="00506106">
        <w:rPr>
          <w:rFonts w:ascii="Garamond" w:hAnsi="Garamond" w:cs="Times New Roman"/>
          <w:bCs/>
          <w:i/>
          <w:iCs/>
          <w:shd w:val="clear" w:color="auto" w:fill="FFFFFF"/>
        </w:rPr>
        <w:t xml:space="preserve"> (1)</w:t>
      </w:r>
      <w:r w:rsidR="00C876A2">
        <w:rPr>
          <w:rFonts w:ascii="Garamond" w:hAnsi="Garamond" w:cs="Times New Roman"/>
          <w:bCs/>
          <w:shd w:val="clear" w:color="auto" w:fill="FFFFFF"/>
        </w:rPr>
        <w:t>,</w:t>
      </w:r>
      <w:r w:rsidR="00AF2F34">
        <w:rPr>
          <w:rFonts w:ascii="Garamond" w:hAnsi="Garamond" w:cs="Times New Roman"/>
          <w:bCs/>
          <w:shd w:val="clear" w:color="auto" w:fill="FFFFFF"/>
        </w:rPr>
        <w:t xml:space="preserve"> </w:t>
      </w:r>
      <w:r w:rsidR="00506106">
        <w:rPr>
          <w:rFonts w:ascii="Garamond" w:hAnsi="Garamond" w:cs="Times New Roman"/>
          <w:bCs/>
          <w:shd w:val="clear" w:color="auto" w:fill="FFFFFF"/>
        </w:rPr>
        <w:t>que ces éléments renvoient à des comportements matériels, et donc à des faits, ou à des normes lorsqu’il s’agit d’apprécier la régularité juridique de celles-ci</w:t>
      </w:r>
      <w:r w:rsidR="00B75771">
        <w:rPr>
          <w:rFonts w:ascii="Garamond" w:hAnsi="Garamond" w:cs="Times New Roman"/>
          <w:bCs/>
          <w:shd w:val="clear" w:color="auto" w:fill="FFFFFF"/>
        </w:rPr>
        <w:t xml:space="preserve"> par rapport aux normes supérieures</w:t>
      </w:r>
      <w:r w:rsidR="00506106">
        <w:rPr>
          <w:rFonts w:ascii="Garamond" w:hAnsi="Garamond" w:cs="Times New Roman"/>
          <w:bCs/>
          <w:shd w:val="clear" w:color="auto" w:fill="FFFFFF"/>
        </w:rPr>
        <w:t xml:space="preserve">, </w:t>
      </w:r>
      <w:r w:rsidR="00AF2F34">
        <w:rPr>
          <w:rFonts w:ascii="Garamond" w:hAnsi="Garamond" w:cs="Times New Roman"/>
          <w:bCs/>
          <w:shd w:val="clear" w:color="auto" w:fill="FFFFFF"/>
        </w:rPr>
        <w:t xml:space="preserve">et la </w:t>
      </w:r>
      <w:r w:rsidR="00AF2F34" w:rsidRPr="00314A36">
        <w:rPr>
          <w:rFonts w:ascii="Garamond" w:hAnsi="Garamond" w:cs="Times New Roman"/>
          <w:bCs/>
          <w:i/>
          <w:iCs/>
          <w:shd w:val="clear" w:color="auto" w:fill="FFFFFF"/>
        </w:rPr>
        <w:t>résolution normative du litige</w:t>
      </w:r>
      <w:r w:rsidR="00506106">
        <w:rPr>
          <w:rFonts w:ascii="Garamond" w:hAnsi="Garamond" w:cs="Times New Roman"/>
          <w:bCs/>
          <w:i/>
          <w:iCs/>
          <w:shd w:val="clear" w:color="auto" w:fill="FFFFFF"/>
        </w:rPr>
        <w:t xml:space="preserve"> (2)</w:t>
      </w:r>
      <w:r w:rsidR="00AF2F34">
        <w:rPr>
          <w:rFonts w:ascii="Garamond" w:hAnsi="Garamond" w:cs="Times New Roman"/>
          <w:bCs/>
          <w:shd w:val="clear" w:color="auto" w:fill="FFFFFF"/>
        </w:rPr>
        <w:t xml:space="preserve">. Chacune de ces deux phases, y compris </w:t>
      </w:r>
      <w:r w:rsidR="00506106">
        <w:rPr>
          <w:rFonts w:ascii="Garamond" w:hAnsi="Garamond" w:cs="Times New Roman"/>
          <w:bCs/>
          <w:shd w:val="clear" w:color="auto" w:fill="FFFFFF"/>
        </w:rPr>
        <w:t>la première</w:t>
      </w:r>
      <w:r w:rsidR="00AF2F34">
        <w:rPr>
          <w:rFonts w:ascii="Garamond" w:hAnsi="Garamond" w:cs="Times New Roman"/>
          <w:bCs/>
          <w:shd w:val="clear" w:color="auto" w:fill="FFFFFF"/>
        </w:rPr>
        <w:t>, laisse apparaître une dimension interprétative et donc un certain pouvoir discrétionnaire du juge. La seconde phase</w:t>
      </w:r>
      <w:r w:rsidR="005763F1">
        <w:rPr>
          <w:rFonts w:ascii="Garamond" w:hAnsi="Garamond" w:cs="Times New Roman"/>
          <w:bCs/>
          <w:shd w:val="clear" w:color="auto" w:fill="FFFFFF"/>
        </w:rPr>
        <w:t xml:space="preserve"> se décline en </w:t>
      </w:r>
      <w:r w:rsidR="008B655A">
        <w:rPr>
          <w:rFonts w:ascii="Garamond" w:hAnsi="Garamond" w:cs="Times New Roman"/>
          <w:bCs/>
          <w:shd w:val="clear" w:color="auto" w:fill="FFFFFF"/>
        </w:rPr>
        <w:t>quatre</w:t>
      </w:r>
      <w:r w:rsidR="005763F1">
        <w:rPr>
          <w:rFonts w:ascii="Garamond" w:hAnsi="Garamond" w:cs="Times New Roman"/>
          <w:bCs/>
          <w:shd w:val="clear" w:color="auto" w:fill="FFFFFF"/>
        </w:rPr>
        <w:t xml:space="preserve"> moments interprétatifs visant à établir la signification de la norme applicable au litige : la question de l’application de la norme au litige</w:t>
      </w:r>
      <w:r w:rsidR="00604524">
        <w:rPr>
          <w:rFonts w:ascii="Garamond" w:hAnsi="Garamond" w:cs="Times New Roman"/>
          <w:bCs/>
          <w:shd w:val="clear" w:color="auto" w:fill="FFFFFF"/>
        </w:rPr>
        <w:t xml:space="preserve"> </w:t>
      </w:r>
      <w:r w:rsidR="00FC75C5">
        <w:rPr>
          <w:rFonts w:ascii="Garamond" w:hAnsi="Garamond" w:cs="Times New Roman"/>
          <w:bCs/>
          <w:shd w:val="clear" w:color="auto" w:fill="FFFFFF"/>
        </w:rPr>
        <w:t>(</w:t>
      </w:r>
      <w:r w:rsidR="00FC75C5" w:rsidRPr="00314A36">
        <w:rPr>
          <w:rFonts w:ascii="Garamond" w:hAnsi="Garamond" w:cs="Times New Roman"/>
          <w:bCs/>
          <w:i/>
          <w:iCs/>
          <w:shd w:val="clear" w:color="auto" w:fill="FFFFFF"/>
        </w:rPr>
        <w:t xml:space="preserve">domaine d’application </w:t>
      </w:r>
      <w:r w:rsidR="00C876A2">
        <w:rPr>
          <w:rFonts w:ascii="Garamond" w:hAnsi="Garamond" w:cs="Times New Roman"/>
          <w:bCs/>
          <w:i/>
          <w:iCs/>
          <w:shd w:val="clear" w:color="auto" w:fill="FFFFFF"/>
        </w:rPr>
        <w:t xml:space="preserve">général </w:t>
      </w:r>
      <w:r w:rsidR="00FC75C5" w:rsidRPr="00314A36">
        <w:rPr>
          <w:rFonts w:ascii="Garamond" w:hAnsi="Garamond" w:cs="Times New Roman"/>
          <w:bCs/>
          <w:i/>
          <w:iCs/>
          <w:shd w:val="clear" w:color="auto" w:fill="FFFFFF"/>
        </w:rPr>
        <w:t xml:space="preserve">de </w:t>
      </w:r>
      <w:r w:rsidR="00C33C42" w:rsidRPr="00314A36">
        <w:rPr>
          <w:rFonts w:ascii="Garamond" w:hAnsi="Garamond" w:cs="Times New Roman"/>
          <w:bCs/>
          <w:i/>
          <w:iCs/>
          <w:shd w:val="clear" w:color="auto" w:fill="FFFFFF"/>
        </w:rPr>
        <w:t>l’énoncé prescriptif</w:t>
      </w:r>
      <w:r w:rsidR="00506106">
        <w:rPr>
          <w:rFonts w:ascii="Garamond" w:hAnsi="Garamond" w:cs="Times New Roman"/>
          <w:bCs/>
          <w:i/>
          <w:iCs/>
          <w:shd w:val="clear" w:color="auto" w:fill="FFFFFF"/>
        </w:rPr>
        <w:t xml:space="preserve"> (2.1)</w:t>
      </w:r>
      <w:r w:rsidR="00FC75C5">
        <w:rPr>
          <w:rFonts w:ascii="Garamond" w:hAnsi="Garamond" w:cs="Times New Roman"/>
          <w:bCs/>
          <w:shd w:val="clear" w:color="auto" w:fill="FFFFFF"/>
        </w:rPr>
        <w:t xml:space="preserve">) pour </w:t>
      </w:r>
      <w:r w:rsidR="008B655A">
        <w:rPr>
          <w:rFonts w:ascii="Garamond" w:hAnsi="Garamond" w:cs="Times New Roman"/>
          <w:bCs/>
          <w:shd w:val="clear" w:color="auto" w:fill="FFFFFF"/>
        </w:rPr>
        <w:t>déterminer</w:t>
      </w:r>
      <w:r w:rsidR="00FC75C5">
        <w:rPr>
          <w:rFonts w:ascii="Garamond" w:hAnsi="Garamond" w:cs="Times New Roman"/>
          <w:bCs/>
          <w:shd w:val="clear" w:color="auto" w:fill="FFFFFF"/>
        </w:rPr>
        <w:t xml:space="preserve"> </w:t>
      </w:r>
      <w:r w:rsidR="00CD4EC4">
        <w:rPr>
          <w:rFonts w:ascii="Garamond" w:hAnsi="Garamond" w:cs="Times New Roman"/>
          <w:bCs/>
          <w:shd w:val="clear" w:color="auto" w:fill="FFFFFF"/>
        </w:rPr>
        <w:t>si</w:t>
      </w:r>
      <w:r w:rsidR="00B839F4">
        <w:rPr>
          <w:rFonts w:ascii="Garamond" w:hAnsi="Garamond" w:cs="Times New Roman"/>
          <w:bCs/>
          <w:shd w:val="clear" w:color="auto" w:fill="FFFFFF"/>
        </w:rPr>
        <w:t xml:space="preserve"> la norme</w:t>
      </w:r>
      <w:r w:rsidR="008B655A">
        <w:rPr>
          <w:rFonts w:ascii="Garamond" w:hAnsi="Garamond" w:cs="Times New Roman"/>
          <w:bCs/>
          <w:shd w:val="clear" w:color="auto" w:fill="FFFFFF"/>
        </w:rPr>
        <w:t xml:space="preserve"> est</w:t>
      </w:r>
      <w:r w:rsidR="00B839F4">
        <w:rPr>
          <w:rFonts w:ascii="Garamond" w:hAnsi="Garamond" w:cs="Times New Roman"/>
          <w:bCs/>
          <w:shd w:val="clear" w:color="auto" w:fill="FFFFFF"/>
        </w:rPr>
        <w:t xml:space="preserve"> susceptible de couvrir le </w:t>
      </w:r>
      <w:r w:rsidR="008B655A">
        <w:rPr>
          <w:rFonts w:ascii="Garamond" w:hAnsi="Garamond" w:cs="Times New Roman"/>
          <w:bCs/>
          <w:shd w:val="clear" w:color="auto" w:fill="FFFFFF"/>
        </w:rPr>
        <w:t>éléments</w:t>
      </w:r>
      <w:r w:rsidR="00B839F4">
        <w:rPr>
          <w:rFonts w:ascii="Garamond" w:hAnsi="Garamond" w:cs="Times New Roman"/>
          <w:bCs/>
          <w:shd w:val="clear" w:color="auto" w:fill="FFFFFF"/>
        </w:rPr>
        <w:t xml:space="preserve"> constitutif</w:t>
      </w:r>
      <w:r w:rsidR="00697FFB">
        <w:rPr>
          <w:rFonts w:ascii="Garamond" w:hAnsi="Garamond" w:cs="Times New Roman"/>
          <w:bCs/>
          <w:shd w:val="clear" w:color="auto" w:fill="FFFFFF"/>
        </w:rPr>
        <w:t>s</w:t>
      </w:r>
      <w:r w:rsidR="00B839F4">
        <w:rPr>
          <w:rFonts w:ascii="Garamond" w:hAnsi="Garamond" w:cs="Times New Roman"/>
          <w:bCs/>
          <w:shd w:val="clear" w:color="auto" w:fill="FFFFFF"/>
        </w:rPr>
        <w:t xml:space="preserve"> d</w:t>
      </w:r>
      <w:r w:rsidR="00C33C42">
        <w:rPr>
          <w:rFonts w:ascii="Garamond" w:hAnsi="Garamond" w:cs="Times New Roman"/>
          <w:bCs/>
          <w:shd w:val="clear" w:color="auto" w:fill="FFFFFF"/>
        </w:rPr>
        <w:t>u litige</w:t>
      </w:r>
      <w:r w:rsidR="00507242">
        <w:rPr>
          <w:rFonts w:ascii="Garamond" w:hAnsi="Garamond" w:cs="Times New Roman"/>
          <w:bCs/>
          <w:shd w:val="clear" w:color="auto" w:fill="FFFFFF"/>
        </w:rPr>
        <w:t xml:space="preserve">, l’interprétation </w:t>
      </w:r>
      <w:r w:rsidR="00FC75C5">
        <w:rPr>
          <w:rFonts w:ascii="Garamond" w:hAnsi="Garamond" w:cs="Times New Roman"/>
          <w:bCs/>
          <w:shd w:val="clear" w:color="auto" w:fill="FFFFFF"/>
        </w:rPr>
        <w:t xml:space="preserve">générale </w:t>
      </w:r>
      <w:r w:rsidR="00507242">
        <w:rPr>
          <w:rFonts w:ascii="Garamond" w:hAnsi="Garamond" w:cs="Times New Roman"/>
          <w:bCs/>
          <w:shd w:val="clear" w:color="auto" w:fill="FFFFFF"/>
        </w:rPr>
        <w:t xml:space="preserve">de l’énoncé prescriptif </w:t>
      </w:r>
      <w:r w:rsidR="00591C8A">
        <w:rPr>
          <w:rFonts w:ascii="Garamond" w:hAnsi="Garamond" w:cs="Times New Roman"/>
          <w:bCs/>
          <w:shd w:val="clear" w:color="auto" w:fill="FFFFFF"/>
        </w:rPr>
        <w:t>ainsi que</w:t>
      </w:r>
      <w:r w:rsidR="00723B66">
        <w:rPr>
          <w:rFonts w:ascii="Garamond" w:hAnsi="Garamond" w:cs="Times New Roman"/>
          <w:bCs/>
          <w:shd w:val="clear" w:color="auto" w:fill="FFFFFF"/>
        </w:rPr>
        <w:t>, év</w:t>
      </w:r>
      <w:r w:rsidR="00B75771">
        <w:rPr>
          <w:rFonts w:ascii="Garamond" w:hAnsi="Garamond" w:cs="Times New Roman"/>
          <w:bCs/>
          <w:shd w:val="clear" w:color="auto" w:fill="FFFFFF"/>
        </w:rPr>
        <w:t>e</w:t>
      </w:r>
      <w:r w:rsidR="00723B66">
        <w:rPr>
          <w:rFonts w:ascii="Garamond" w:hAnsi="Garamond" w:cs="Times New Roman"/>
          <w:bCs/>
          <w:shd w:val="clear" w:color="auto" w:fill="FFFFFF"/>
        </w:rPr>
        <w:t>ntuellement,</w:t>
      </w:r>
      <w:r w:rsidR="00591C8A">
        <w:rPr>
          <w:rFonts w:ascii="Garamond" w:hAnsi="Garamond" w:cs="Times New Roman"/>
          <w:bCs/>
          <w:shd w:val="clear" w:color="auto" w:fill="FFFFFF"/>
        </w:rPr>
        <w:t xml:space="preserve"> l’établissement de règles générales d’appréciation concrète du respect de cette interprétation</w:t>
      </w:r>
      <w:r w:rsidR="00591C8A">
        <w:rPr>
          <w:rStyle w:val="Appelnotedebasdep"/>
          <w:rFonts w:ascii="Garamond" w:hAnsi="Garamond" w:cs="Times New Roman"/>
          <w:bCs/>
          <w:shd w:val="clear" w:color="auto" w:fill="FFFFFF"/>
        </w:rPr>
        <w:footnoteReference w:id="14"/>
      </w:r>
      <w:r w:rsidR="00591C8A">
        <w:rPr>
          <w:rFonts w:ascii="Garamond" w:hAnsi="Garamond" w:cs="Times New Roman"/>
          <w:bCs/>
          <w:shd w:val="clear" w:color="auto" w:fill="FFFFFF"/>
        </w:rPr>
        <w:t xml:space="preserve"> </w:t>
      </w:r>
      <w:r w:rsidR="00FC75C5">
        <w:rPr>
          <w:rFonts w:ascii="Garamond" w:hAnsi="Garamond" w:cs="Times New Roman"/>
          <w:bCs/>
          <w:shd w:val="clear" w:color="auto" w:fill="FFFFFF"/>
        </w:rPr>
        <w:t>(</w:t>
      </w:r>
      <w:r w:rsidR="00FC75C5" w:rsidRPr="00314A36">
        <w:rPr>
          <w:rFonts w:ascii="Garamond" w:hAnsi="Garamond" w:cs="Times New Roman"/>
          <w:bCs/>
          <w:i/>
          <w:iCs/>
          <w:shd w:val="clear" w:color="auto" w:fill="FFFFFF"/>
        </w:rPr>
        <w:t>signification générale de l’énoncé prescriptif</w:t>
      </w:r>
      <w:r w:rsidR="00506106">
        <w:rPr>
          <w:rFonts w:ascii="Garamond" w:hAnsi="Garamond" w:cs="Times New Roman"/>
          <w:bCs/>
          <w:i/>
          <w:iCs/>
          <w:shd w:val="clear" w:color="auto" w:fill="FFFFFF"/>
        </w:rPr>
        <w:t xml:space="preserve"> (2.2)</w:t>
      </w:r>
      <w:r w:rsidR="00FC75C5">
        <w:rPr>
          <w:rFonts w:ascii="Garamond" w:hAnsi="Garamond" w:cs="Times New Roman"/>
          <w:bCs/>
          <w:shd w:val="clear" w:color="auto" w:fill="FFFFFF"/>
        </w:rPr>
        <w:t>)</w:t>
      </w:r>
      <w:r w:rsidR="00C876A2">
        <w:rPr>
          <w:rFonts w:ascii="Garamond" w:hAnsi="Garamond" w:cs="Times New Roman"/>
          <w:bCs/>
          <w:shd w:val="clear" w:color="auto" w:fill="FFFFFF"/>
        </w:rPr>
        <w:t xml:space="preserve">, la qualification juridique des </w:t>
      </w:r>
      <w:r w:rsidR="00707F3F">
        <w:rPr>
          <w:rFonts w:ascii="Garamond" w:hAnsi="Garamond" w:cs="Times New Roman"/>
          <w:bCs/>
          <w:shd w:val="clear" w:color="auto" w:fill="FFFFFF"/>
        </w:rPr>
        <w:t>éléments du litige</w:t>
      </w:r>
      <w:r w:rsidR="00C876A2">
        <w:rPr>
          <w:rFonts w:ascii="Garamond" w:hAnsi="Garamond" w:cs="Times New Roman"/>
          <w:bCs/>
          <w:shd w:val="clear" w:color="auto" w:fill="FFFFFF"/>
        </w:rPr>
        <w:t xml:space="preserve"> pour établir de quelle manière </w:t>
      </w:r>
      <w:r w:rsidR="00707F3F">
        <w:rPr>
          <w:rFonts w:ascii="Garamond" w:hAnsi="Garamond" w:cs="Times New Roman"/>
          <w:bCs/>
          <w:shd w:val="clear" w:color="auto" w:fill="FFFFFF"/>
        </w:rPr>
        <w:t>c</w:t>
      </w:r>
      <w:r w:rsidR="00C876A2">
        <w:rPr>
          <w:rFonts w:ascii="Garamond" w:hAnsi="Garamond" w:cs="Times New Roman"/>
          <w:bCs/>
          <w:shd w:val="clear" w:color="auto" w:fill="FFFFFF"/>
        </w:rPr>
        <w:t xml:space="preserve">es </w:t>
      </w:r>
      <w:r w:rsidR="00707F3F">
        <w:rPr>
          <w:rFonts w:ascii="Garamond" w:hAnsi="Garamond" w:cs="Times New Roman"/>
          <w:bCs/>
          <w:shd w:val="clear" w:color="auto" w:fill="FFFFFF"/>
        </w:rPr>
        <w:t>élément</w:t>
      </w:r>
      <w:r w:rsidR="00C876A2">
        <w:rPr>
          <w:rFonts w:ascii="Garamond" w:hAnsi="Garamond" w:cs="Times New Roman"/>
          <w:bCs/>
          <w:shd w:val="clear" w:color="auto" w:fill="FFFFFF"/>
        </w:rPr>
        <w:t>s peuvent être rattachés à la norme (</w:t>
      </w:r>
      <w:r w:rsidR="00C876A2" w:rsidRPr="00314A36">
        <w:rPr>
          <w:rFonts w:ascii="Garamond" w:hAnsi="Garamond" w:cs="Times New Roman"/>
          <w:bCs/>
          <w:i/>
          <w:iCs/>
          <w:shd w:val="clear" w:color="auto" w:fill="FFFFFF"/>
        </w:rPr>
        <w:t xml:space="preserve">domaine d’application </w:t>
      </w:r>
      <w:r w:rsidR="00C876A2">
        <w:rPr>
          <w:rFonts w:ascii="Garamond" w:hAnsi="Garamond" w:cs="Times New Roman"/>
          <w:bCs/>
          <w:i/>
          <w:iCs/>
          <w:shd w:val="clear" w:color="auto" w:fill="FFFFFF"/>
        </w:rPr>
        <w:t xml:space="preserve">particulier </w:t>
      </w:r>
      <w:r w:rsidR="00C876A2" w:rsidRPr="00314A36">
        <w:rPr>
          <w:rFonts w:ascii="Garamond" w:hAnsi="Garamond" w:cs="Times New Roman"/>
          <w:bCs/>
          <w:i/>
          <w:iCs/>
          <w:shd w:val="clear" w:color="auto" w:fill="FFFFFF"/>
        </w:rPr>
        <w:t>de l’énoncé prescriptif</w:t>
      </w:r>
      <w:r w:rsidR="00506106">
        <w:rPr>
          <w:rFonts w:ascii="Garamond" w:hAnsi="Garamond" w:cs="Times New Roman"/>
          <w:bCs/>
          <w:i/>
          <w:iCs/>
          <w:shd w:val="clear" w:color="auto" w:fill="FFFFFF"/>
        </w:rPr>
        <w:t xml:space="preserve"> (2.3)</w:t>
      </w:r>
      <w:r w:rsidR="00C876A2">
        <w:rPr>
          <w:rFonts w:ascii="Garamond" w:hAnsi="Garamond" w:cs="Times New Roman"/>
          <w:bCs/>
          <w:shd w:val="clear" w:color="auto" w:fill="FFFFFF"/>
        </w:rPr>
        <w:t xml:space="preserve">) </w:t>
      </w:r>
      <w:r w:rsidR="00507242">
        <w:rPr>
          <w:rFonts w:ascii="Garamond" w:hAnsi="Garamond" w:cs="Times New Roman"/>
          <w:bCs/>
          <w:shd w:val="clear" w:color="auto" w:fill="FFFFFF"/>
        </w:rPr>
        <w:t xml:space="preserve">et </w:t>
      </w:r>
      <w:r w:rsidR="00697FFB">
        <w:rPr>
          <w:rFonts w:ascii="Garamond" w:hAnsi="Garamond" w:cs="Times New Roman"/>
          <w:bCs/>
          <w:shd w:val="clear" w:color="auto" w:fill="FFFFFF"/>
        </w:rPr>
        <w:t>poser le</w:t>
      </w:r>
      <w:r w:rsidR="00507242">
        <w:rPr>
          <w:rFonts w:ascii="Garamond" w:hAnsi="Garamond" w:cs="Times New Roman"/>
          <w:bCs/>
          <w:shd w:val="clear" w:color="auto" w:fill="FFFFFF"/>
        </w:rPr>
        <w:t xml:space="preserve"> comportement qu’</w:t>
      </w:r>
      <w:r w:rsidR="00697FFB">
        <w:rPr>
          <w:rFonts w:ascii="Garamond" w:hAnsi="Garamond" w:cs="Times New Roman"/>
          <w:bCs/>
          <w:shd w:val="clear" w:color="auto" w:fill="FFFFFF"/>
        </w:rPr>
        <w:t>elle</w:t>
      </w:r>
      <w:r w:rsidR="00507242">
        <w:rPr>
          <w:rFonts w:ascii="Garamond" w:hAnsi="Garamond" w:cs="Times New Roman"/>
          <w:bCs/>
          <w:shd w:val="clear" w:color="auto" w:fill="FFFFFF"/>
        </w:rPr>
        <w:t xml:space="preserve"> permet, interdit ou rend obligatoire dans les faits à l’origine du litige</w:t>
      </w:r>
      <w:r w:rsidR="00FC75C5">
        <w:rPr>
          <w:rFonts w:ascii="Garamond" w:hAnsi="Garamond" w:cs="Times New Roman"/>
          <w:bCs/>
          <w:shd w:val="clear" w:color="auto" w:fill="FFFFFF"/>
        </w:rPr>
        <w:t xml:space="preserve"> (</w:t>
      </w:r>
      <w:r w:rsidR="00FC75C5" w:rsidRPr="00314A36">
        <w:rPr>
          <w:rFonts w:ascii="Garamond" w:hAnsi="Garamond" w:cs="Times New Roman"/>
          <w:bCs/>
          <w:i/>
          <w:iCs/>
          <w:shd w:val="clear" w:color="auto" w:fill="FFFFFF"/>
        </w:rPr>
        <w:t>signification particulière de l’énoncé prescri</w:t>
      </w:r>
      <w:r w:rsidR="00C33C42" w:rsidRPr="00314A36">
        <w:rPr>
          <w:rFonts w:ascii="Garamond" w:hAnsi="Garamond" w:cs="Times New Roman"/>
          <w:bCs/>
          <w:i/>
          <w:iCs/>
          <w:shd w:val="clear" w:color="auto" w:fill="FFFFFF"/>
        </w:rPr>
        <w:t>ptif</w:t>
      </w:r>
      <w:r w:rsidR="00506106">
        <w:rPr>
          <w:rFonts w:ascii="Garamond" w:hAnsi="Garamond" w:cs="Times New Roman"/>
          <w:bCs/>
          <w:i/>
          <w:iCs/>
          <w:shd w:val="clear" w:color="auto" w:fill="FFFFFF"/>
        </w:rPr>
        <w:t xml:space="preserve"> (2.4)</w:t>
      </w:r>
      <w:r w:rsidR="00CD4EC4">
        <w:rPr>
          <w:rFonts w:ascii="Garamond" w:hAnsi="Garamond" w:cs="Times New Roman"/>
          <w:bCs/>
          <w:shd w:val="clear" w:color="auto" w:fill="FFFFFF"/>
        </w:rPr>
        <w:t>)</w:t>
      </w:r>
      <w:r w:rsidR="00507242">
        <w:rPr>
          <w:rFonts w:ascii="Garamond" w:hAnsi="Garamond" w:cs="Times New Roman"/>
          <w:bCs/>
          <w:shd w:val="clear" w:color="auto" w:fill="FFFFFF"/>
        </w:rPr>
        <w:t>.</w:t>
      </w:r>
    </w:p>
    <w:p w14:paraId="07E091C4" w14:textId="5260545A" w:rsidR="00C876A2" w:rsidRDefault="00C876A2" w:rsidP="00F30932">
      <w:pPr>
        <w:spacing w:line="340" w:lineRule="exact"/>
        <w:jc w:val="both"/>
        <w:rPr>
          <w:rFonts w:ascii="Garamond" w:hAnsi="Garamond" w:cs="Times New Roman"/>
          <w:bCs/>
          <w:shd w:val="clear" w:color="auto" w:fill="FFFFFF"/>
        </w:rPr>
      </w:pPr>
    </w:p>
    <w:p w14:paraId="5490E805" w14:textId="5511746A" w:rsidR="00C876A2" w:rsidRPr="00707F3F" w:rsidRDefault="00C876A2" w:rsidP="00F30932">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 xml:space="preserve">Supposons qu’il s’agisse de vérifier la compatibilité d’une loi d’un État partie à la Convention européenne des droits de l’homme créant un délit d’incitation à la haine raciale et que cette loi soit </w:t>
      </w:r>
      <w:r>
        <w:rPr>
          <w:rFonts w:ascii="Garamond" w:hAnsi="Garamond" w:cs="Times New Roman"/>
          <w:bCs/>
          <w:shd w:val="clear" w:color="auto" w:fill="FFFFFF"/>
        </w:rPr>
        <w:lastRenderedPageBreak/>
        <w:t xml:space="preserve">contestée au regard de la liberté d’expression consacrée par l’article 10 § 2 de la </w:t>
      </w:r>
      <w:r w:rsidR="00E1107B">
        <w:rPr>
          <w:rFonts w:ascii="Garamond" w:hAnsi="Garamond" w:cs="Times New Roman"/>
          <w:bCs/>
          <w:shd w:val="clear" w:color="auto" w:fill="FFFFFF"/>
        </w:rPr>
        <w:t>Convention. Chargée de trancher cette question, la Cour doit prendre connaissance de la loi en question</w:t>
      </w:r>
      <w:r w:rsidR="00506106">
        <w:rPr>
          <w:rFonts w:ascii="Garamond" w:hAnsi="Garamond" w:cs="Times New Roman"/>
          <w:bCs/>
          <w:shd w:val="clear" w:color="auto" w:fill="FFFFFF"/>
        </w:rPr>
        <w:t>,</w:t>
      </w:r>
      <w:r w:rsidR="00E1107B">
        <w:rPr>
          <w:rFonts w:ascii="Garamond" w:hAnsi="Garamond" w:cs="Times New Roman"/>
          <w:bCs/>
          <w:shd w:val="clear" w:color="auto" w:fill="FFFFFF"/>
        </w:rPr>
        <w:t xml:space="preserve"> </w:t>
      </w:r>
      <w:r w:rsidR="00506106">
        <w:rPr>
          <w:rFonts w:ascii="Garamond" w:hAnsi="Garamond" w:cs="Times New Roman"/>
          <w:bCs/>
          <w:shd w:val="clear" w:color="auto" w:fill="FFFFFF"/>
        </w:rPr>
        <w:t xml:space="preserve">étape de </w:t>
      </w:r>
      <w:r w:rsidR="00E1107B" w:rsidRPr="00314A36">
        <w:rPr>
          <w:rFonts w:ascii="Garamond" w:hAnsi="Garamond" w:cs="Times New Roman"/>
          <w:bCs/>
          <w:i/>
          <w:iCs/>
          <w:shd w:val="clear" w:color="auto" w:fill="FFFFFF"/>
        </w:rPr>
        <w:t xml:space="preserve">constitution </w:t>
      </w:r>
      <w:r w:rsidR="00506106">
        <w:rPr>
          <w:rFonts w:ascii="Garamond" w:hAnsi="Garamond" w:cs="Times New Roman"/>
          <w:bCs/>
          <w:i/>
          <w:iCs/>
          <w:shd w:val="clear" w:color="auto" w:fill="FFFFFF"/>
        </w:rPr>
        <w:t>des éléments</w:t>
      </w:r>
      <w:r w:rsidR="00E1107B" w:rsidRPr="00314A36">
        <w:rPr>
          <w:rFonts w:ascii="Garamond" w:hAnsi="Garamond" w:cs="Times New Roman"/>
          <w:bCs/>
          <w:i/>
          <w:iCs/>
          <w:shd w:val="clear" w:color="auto" w:fill="FFFFFF"/>
        </w:rPr>
        <w:t xml:space="preserve"> du litige</w:t>
      </w:r>
      <w:r w:rsidR="00506106">
        <w:rPr>
          <w:rFonts w:ascii="Garamond" w:hAnsi="Garamond" w:cs="Times New Roman"/>
          <w:bCs/>
          <w:i/>
          <w:iCs/>
          <w:shd w:val="clear" w:color="auto" w:fill="FFFFFF"/>
        </w:rPr>
        <w:t xml:space="preserve"> </w:t>
      </w:r>
      <w:r w:rsidR="00506106">
        <w:rPr>
          <w:rFonts w:ascii="Garamond" w:hAnsi="Garamond" w:cs="Times New Roman"/>
          <w:bCs/>
          <w:shd w:val="clear" w:color="auto" w:fill="FFFFFF"/>
        </w:rPr>
        <w:t>(1)</w:t>
      </w:r>
      <w:r w:rsidR="00E1107B">
        <w:rPr>
          <w:rFonts w:ascii="Garamond" w:hAnsi="Garamond" w:cs="Times New Roman"/>
          <w:bCs/>
          <w:shd w:val="clear" w:color="auto" w:fill="FFFFFF"/>
        </w:rPr>
        <w:t xml:space="preserve">, </w:t>
      </w:r>
      <w:r w:rsidR="00506106">
        <w:rPr>
          <w:rFonts w:ascii="Garamond" w:hAnsi="Garamond" w:cs="Times New Roman"/>
          <w:bCs/>
          <w:shd w:val="clear" w:color="auto" w:fill="FFFFFF"/>
        </w:rPr>
        <w:t>ce qui</w:t>
      </w:r>
      <w:r w:rsidR="00E1107B">
        <w:rPr>
          <w:rFonts w:ascii="Garamond" w:hAnsi="Garamond" w:cs="Times New Roman"/>
          <w:bCs/>
          <w:shd w:val="clear" w:color="auto" w:fill="FFFFFF"/>
        </w:rPr>
        <w:t xml:space="preserve"> implique une dimension d’interprétation normative,</w:t>
      </w:r>
      <w:r w:rsidR="00506106">
        <w:rPr>
          <w:rFonts w:ascii="Garamond" w:hAnsi="Garamond" w:cs="Times New Roman"/>
          <w:bCs/>
          <w:shd w:val="clear" w:color="auto" w:fill="FFFFFF"/>
        </w:rPr>
        <w:t xml:space="preserve"> la signification de la loi en question,</w:t>
      </w:r>
      <w:r w:rsidR="00E1107B">
        <w:rPr>
          <w:rFonts w:ascii="Garamond" w:hAnsi="Garamond" w:cs="Times New Roman"/>
          <w:bCs/>
          <w:shd w:val="clear" w:color="auto" w:fill="FFFFFF"/>
        </w:rPr>
        <w:t xml:space="preserve"> l’objet du litige n’étant pas factuel mais normatif.</w:t>
      </w:r>
      <w:r w:rsidR="00506106">
        <w:rPr>
          <w:rFonts w:ascii="Garamond" w:hAnsi="Garamond" w:cs="Times New Roman"/>
          <w:bCs/>
          <w:shd w:val="clear" w:color="auto" w:fill="FFFFFF"/>
        </w:rPr>
        <w:t xml:space="preserve"> Un fois cette étape réalisée, la Cour doit établir si cette loi implique une mise en cause de la liberté d’expression, autrement dit si la loi entre dans le domaine d’application de l’article 10 § 2 de la Convention </w:t>
      </w:r>
      <w:r w:rsidR="00707F3F">
        <w:rPr>
          <w:rFonts w:ascii="Garamond" w:hAnsi="Garamond" w:cs="Times New Roman"/>
          <w:bCs/>
          <w:shd w:val="clear" w:color="auto" w:fill="FFFFFF"/>
        </w:rPr>
        <w:t>(</w:t>
      </w:r>
      <w:r w:rsidR="00506106" w:rsidRPr="00314A36">
        <w:rPr>
          <w:rFonts w:ascii="Garamond" w:hAnsi="Garamond" w:cs="Times New Roman"/>
          <w:bCs/>
          <w:i/>
          <w:iCs/>
          <w:shd w:val="clear" w:color="auto" w:fill="FFFFFF"/>
        </w:rPr>
        <w:t xml:space="preserve">domaine d’application </w:t>
      </w:r>
      <w:r w:rsidR="00506106">
        <w:rPr>
          <w:rFonts w:ascii="Garamond" w:hAnsi="Garamond" w:cs="Times New Roman"/>
          <w:bCs/>
          <w:i/>
          <w:iCs/>
          <w:shd w:val="clear" w:color="auto" w:fill="FFFFFF"/>
        </w:rPr>
        <w:t xml:space="preserve">général </w:t>
      </w:r>
      <w:r w:rsidR="00506106" w:rsidRPr="00314A36">
        <w:rPr>
          <w:rFonts w:ascii="Garamond" w:hAnsi="Garamond" w:cs="Times New Roman"/>
          <w:bCs/>
          <w:i/>
          <w:iCs/>
          <w:shd w:val="clear" w:color="auto" w:fill="FFFFFF"/>
        </w:rPr>
        <w:t>de l’énoncé prescriptif</w:t>
      </w:r>
      <w:r w:rsidR="00506106">
        <w:rPr>
          <w:rFonts w:ascii="Garamond" w:hAnsi="Garamond" w:cs="Times New Roman"/>
          <w:bCs/>
          <w:i/>
          <w:iCs/>
          <w:shd w:val="clear" w:color="auto" w:fill="FFFFFF"/>
        </w:rPr>
        <w:t xml:space="preserve"> (2.1)</w:t>
      </w:r>
      <w:r w:rsidR="00707F3F">
        <w:rPr>
          <w:rFonts w:ascii="Garamond" w:hAnsi="Garamond" w:cs="Times New Roman"/>
          <w:bCs/>
          <w:shd w:val="clear" w:color="auto" w:fill="FFFFFF"/>
        </w:rPr>
        <w:t xml:space="preserve">). Si la réponse est positive, il appartient alors au juge de rappeler la signification générale de l’article 10 § 2 de la Convention </w:t>
      </w:r>
      <w:r w:rsidR="00B75771">
        <w:rPr>
          <w:rFonts w:ascii="Garamond" w:hAnsi="Garamond" w:cs="Times New Roman"/>
          <w:bCs/>
          <w:shd w:val="clear" w:color="auto" w:fill="FFFFFF"/>
        </w:rPr>
        <w:t>et de poser, s’il le souhaite,</w:t>
      </w:r>
      <w:r w:rsidR="00723B66">
        <w:rPr>
          <w:rFonts w:ascii="Garamond" w:hAnsi="Garamond" w:cs="Times New Roman"/>
          <w:bCs/>
          <w:shd w:val="clear" w:color="auto" w:fill="FFFFFF"/>
        </w:rPr>
        <w:t xml:space="preserve"> des critères généraux d’appréciation </w:t>
      </w:r>
      <w:r w:rsidR="00B75771">
        <w:rPr>
          <w:rFonts w:ascii="Garamond" w:hAnsi="Garamond" w:cs="Times New Roman"/>
          <w:bCs/>
          <w:shd w:val="clear" w:color="auto" w:fill="FFFFFF"/>
        </w:rPr>
        <w:t xml:space="preserve">du respect </w:t>
      </w:r>
      <w:r w:rsidR="00723B66">
        <w:rPr>
          <w:rFonts w:ascii="Garamond" w:hAnsi="Garamond" w:cs="Times New Roman"/>
          <w:bCs/>
          <w:shd w:val="clear" w:color="auto" w:fill="FFFFFF"/>
        </w:rPr>
        <w:t xml:space="preserve">de la norme textuelle </w:t>
      </w:r>
      <w:r w:rsidR="00707F3F">
        <w:rPr>
          <w:rFonts w:ascii="Garamond" w:hAnsi="Garamond" w:cs="Times New Roman"/>
          <w:bCs/>
          <w:shd w:val="clear" w:color="auto" w:fill="FFFFFF"/>
        </w:rPr>
        <w:t>(</w:t>
      </w:r>
      <w:r w:rsidR="00707F3F" w:rsidRPr="00314A36">
        <w:rPr>
          <w:rFonts w:ascii="Garamond" w:hAnsi="Garamond" w:cs="Times New Roman"/>
          <w:bCs/>
          <w:i/>
          <w:iCs/>
          <w:shd w:val="clear" w:color="auto" w:fill="FFFFFF"/>
        </w:rPr>
        <w:t>signification générale de l’énoncé prescriptif</w:t>
      </w:r>
      <w:r w:rsidR="00707F3F">
        <w:rPr>
          <w:rFonts w:ascii="Garamond" w:hAnsi="Garamond" w:cs="Times New Roman"/>
          <w:bCs/>
          <w:i/>
          <w:iCs/>
          <w:shd w:val="clear" w:color="auto" w:fill="FFFFFF"/>
        </w:rPr>
        <w:t xml:space="preserve"> (2.2)</w:t>
      </w:r>
      <w:r w:rsidR="00707F3F">
        <w:rPr>
          <w:rFonts w:ascii="Garamond" w:hAnsi="Garamond" w:cs="Times New Roman"/>
          <w:bCs/>
          <w:shd w:val="clear" w:color="auto" w:fill="FFFFFF"/>
        </w:rPr>
        <w:t xml:space="preserve">). À partir de </w:t>
      </w:r>
      <w:r w:rsidR="00697FFB">
        <w:rPr>
          <w:rFonts w:ascii="Garamond" w:hAnsi="Garamond" w:cs="Times New Roman"/>
          <w:bCs/>
          <w:shd w:val="clear" w:color="auto" w:fill="FFFFFF"/>
        </w:rPr>
        <w:t xml:space="preserve">cette </w:t>
      </w:r>
      <w:r w:rsidR="00707F3F">
        <w:rPr>
          <w:rFonts w:ascii="Garamond" w:hAnsi="Garamond" w:cs="Times New Roman"/>
          <w:bCs/>
          <w:shd w:val="clear" w:color="auto" w:fill="FFFFFF"/>
        </w:rPr>
        <w:t>signification générale</w:t>
      </w:r>
      <w:r w:rsidR="00287107">
        <w:rPr>
          <w:rFonts w:ascii="Garamond" w:hAnsi="Garamond" w:cs="Times New Roman"/>
          <w:bCs/>
          <w:shd w:val="clear" w:color="auto" w:fill="FFFFFF"/>
        </w:rPr>
        <w:t xml:space="preserve"> et des critères d’appréciation posés</w:t>
      </w:r>
      <w:r w:rsidR="00707F3F">
        <w:rPr>
          <w:rFonts w:ascii="Garamond" w:hAnsi="Garamond" w:cs="Times New Roman"/>
          <w:bCs/>
          <w:shd w:val="clear" w:color="auto" w:fill="FFFFFF"/>
        </w:rPr>
        <w:t xml:space="preserve">, il </w:t>
      </w:r>
      <w:r w:rsidR="00697FFB">
        <w:rPr>
          <w:rFonts w:ascii="Garamond" w:hAnsi="Garamond" w:cs="Times New Roman"/>
          <w:bCs/>
          <w:shd w:val="clear" w:color="auto" w:fill="FFFFFF"/>
        </w:rPr>
        <w:t xml:space="preserve">lui </w:t>
      </w:r>
      <w:r w:rsidR="00707F3F">
        <w:rPr>
          <w:rFonts w:ascii="Garamond" w:hAnsi="Garamond" w:cs="Times New Roman"/>
          <w:bCs/>
          <w:shd w:val="clear" w:color="auto" w:fill="FFFFFF"/>
        </w:rPr>
        <w:t>appartient d’</w:t>
      </w:r>
      <w:r w:rsidR="00933668">
        <w:rPr>
          <w:rFonts w:ascii="Garamond" w:hAnsi="Garamond" w:cs="Times New Roman"/>
          <w:bCs/>
          <w:shd w:val="clear" w:color="auto" w:fill="FFFFFF"/>
        </w:rPr>
        <w:t>identif</w:t>
      </w:r>
      <w:r w:rsidR="00723B66">
        <w:rPr>
          <w:rFonts w:ascii="Garamond" w:hAnsi="Garamond" w:cs="Times New Roman"/>
          <w:bCs/>
          <w:shd w:val="clear" w:color="auto" w:fill="FFFFFF"/>
        </w:rPr>
        <w:t>i</w:t>
      </w:r>
      <w:r w:rsidR="00697FFB">
        <w:rPr>
          <w:rFonts w:ascii="Garamond" w:hAnsi="Garamond" w:cs="Times New Roman"/>
          <w:bCs/>
          <w:shd w:val="clear" w:color="auto" w:fill="FFFFFF"/>
        </w:rPr>
        <w:t>er</w:t>
      </w:r>
      <w:r w:rsidR="00707F3F">
        <w:rPr>
          <w:rFonts w:ascii="Garamond" w:hAnsi="Garamond" w:cs="Times New Roman"/>
          <w:bCs/>
          <w:shd w:val="clear" w:color="auto" w:fill="FFFFFF"/>
        </w:rPr>
        <w:t xml:space="preserve"> comment la norme législative peut être saisie par cette signification. La loi constitue-t-elle une restriction à la liberté d’expression ? Est-elle nécessaire dans une société démocratique ? </w:t>
      </w:r>
      <w:r w:rsidR="004C7526">
        <w:rPr>
          <w:rFonts w:ascii="Garamond" w:hAnsi="Garamond" w:cs="Times New Roman"/>
          <w:bCs/>
          <w:shd w:val="clear" w:color="auto" w:fill="FFFFFF"/>
        </w:rPr>
        <w:t>La justification de la restriction est-elle valable</w:t>
      </w:r>
      <w:r w:rsidR="00287107">
        <w:rPr>
          <w:rFonts w:ascii="Garamond" w:hAnsi="Garamond" w:cs="Times New Roman"/>
          <w:bCs/>
          <w:shd w:val="clear" w:color="auto" w:fill="FFFFFF"/>
        </w:rPr>
        <w:t xml:space="preserve"> (</w:t>
      </w:r>
      <w:r w:rsidR="00287107" w:rsidRPr="00314A36">
        <w:rPr>
          <w:rFonts w:ascii="Garamond" w:hAnsi="Garamond" w:cs="Times New Roman"/>
          <w:bCs/>
          <w:i/>
          <w:iCs/>
          <w:shd w:val="clear" w:color="auto" w:fill="FFFFFF"/>
        </w:rPr>
        <w:t xml:space="preserve">domaine d’application </w:t>
      </w:r>
      <w:r w:rsidR="00287107">
        <w:rPr>
          <w:rFonts w:ascii="Garamond" w:hAnsi="Garamond" w:cs="Times New Roman"/>
          <w:bCs/>
          <w:i/>
          <w:iCs/>
          <w:shd w:val="clear" w:color="auto" w:fill="FFFFFF"/>
        </w:rPr>
        <w:t xml:space="preserve">particulier </w:t>
      </w:r>
      <w:r w:rsidR="00287107" w:rsidRPr="00314A36">
        <w:rPr>
          <w:rFonts w:ascii="Garamond" w:hAnsi="Garamond" w:cs="Times New Roman"/>
          <w:bCs/>
          <w:i/>
          <w:iCs/>
          <w:shd w:val="clear" w:color="auto" w:fill="FFFFFF"/>
        </w:rPr>
        <w:t>de l’énoncé prescriptif</w:t>
      </w:r>
      <w:r w:rsidR="00287107">
        <w:rPr>
          <w:rFonts w:ascii="Garamond" w:hAnsi="Garamond" w:cs="Times New Roman"/>
          <w:bCs/>
          <w:i/>
          <w:iCs/>
          <w:shd w:val="clear" w:color="auto" w:fill="FFFFFF"/>
        </w:rPr>
        <w:t xml:space="preserve"> (2.3)</w:t>
      </w:r>
      <w:r w:rsidR="00287107">
        <w:rPr>
          <w:rFonts w:ascii="Garamond" w:hAnsi="Garamond" w:cs="Times New Roman"/>
          <w:bCs/>
          <w:shd w:val="clear" w:color="auto" w:fill="FFFFFF"/>
        </w:rPr>
        <w:t>)</w:t>
      </w:r>
      <w:r w:rsidR="004C7526">
        <w:rPr>
          <w:rFonts w:ascii="Garamond" w:hAnsi="Garamond" w:cs="Times New Roman"/>
          <w:bCs/>
          <w:shd w:val="clear" w:color="auto" w:fill="FFFFFF"/>
        </w:rPr>
        <w:t xml:space="preserve"> ? </w:t>
      </w:r>
      <w:r w:rsidR="00707F3F">
        <w:rPr>
          <w:rFonts w:ascii="Garamond" w:hAnsi="Garamond" w:cs="Times New Roman"/>
          <w:bCs/>
          <w:shd w:val="clear" w:color="auto" w:fill="FFFFFF"/>
        </w:rPr>
        <w:t>De la résolution de ces questions dépend</w:t>
      </w:r>
      <w:r w:rsidR="004C7526">
        <w:rPr>
          <w:rFonts w:ascii="Garamond" w:hAnsi="Garamond" w:cs="Times New Roman"/>
          <w:bCs/>
          <w:shd w:val="clear" w:color="auto" w:fill="FFFFFF"/>
        </w:rPr>
        <w:t>,</w:t>
      </w:r>
      <w:r w:rsidR="00707F3F">
        <w:rPr>
          <w:rFonts w:ascii="Garamond" w:hAnsi="Garamond" w:cs="Times New Roman"/>
          <w:bCs/>
          <w:shd w:val="clear" w:color="auto" w:fill="FFFFFF"/>
        </w:rPr>
        <w:t xml:space="preserve"> en dernier lieu</w:t>
      </w:r>
      <w:r w:rsidR="004C7526">
        <w:rPr>
          <w:rFonts w:ascii="Garamond" w:hAnsi="Garamond" w:cs="Times New Roman"/>
          <w:bCs/>
          <w:shd w:val="clear" w:color="auto" w:fill="FFFFFF"/>
        </w:rPr>
        <w:t>,</w:t>
      </w:r>
      <w:r w:rsidR="00707F3F">
        <w:rPr>
          <w:rFonts w:ascii="Garamond" w:hAnsi="Garamond" w:cs="Times New Roman"/>
          <w:bCs/>
          <w:shd w:val="clear" w:color="auto" w:fill="FFFFFF"/>
        </w:rPr>
        <w:t xml:space="preserve"> la solution du litige (</w:t>
      </w:r>
      <w:r w:rsidR="00707F3F" w:rsidRPr="00314A36">
        <w:rPr>
          <w:rFonts w:ascii="Garamond" w:hAnsi="Garamond" w:cs="Times New Roman"/>
          <w:bCs/>
          <w:i/>
          <w:iCs/>
          <w:shd w:val="clear" w:color="auto" w:fill="FFFFFF"/>
        </w:rPr>
        <w:t>signification particulière de l’énoncé prescriptif</w:t>
      </w:r>
      <w:r w:rsidR="00707F3F">
        <w:rPr>
          <w:rFonts w:ascii="Garamond" w:hAnsi="Garamond" w:cs="Times New Roman"/>
          <w:bCs/>
          <w:i/>
          <w:iCs/>
          <w:shd w:val="clear" w:color="auto" w:fill="FFFFFF"/>
        </w:rPr>
        <w:t xml:space="preserve"> (2.4)</w:t>
      </w:r>
      <w:r w:rsidR="00707F3F">
        <w:rPr>
          <w:rFonts w:ascii="Garamond" w:hAnsi="Garamond" w:cs="Times New Roman"/>
          <w:bCs/>
          <w:shd w:val="clear" w:color="auto" w:fill="FFFFFF"/>
        </w:rPr>
        <w:t>)</w:t>
      </w:r>
      <w:r w:rsidR="004C7526">
        <w:rPr>
          <w:rFonts w:ascii="Garamond" w:hAnsi="Garamond" w:cs="Times New Roman"/>
          <w:bCs/>
          <w:shd w:val="clear" w:color="auto" w:fill="FFFFFF"/>
        </w:rPr>
        <w:t>, sur la violation ou sur l’absence de violation de la Convention.</w:t>
      </w:r>
    </w:p>
    <w:p w14:paraId="64241963" w14:textId="57EECD45" w:rsidR="00CD4EC4" w:rsidRDefault="00CD4EC4" w:rsidP="00F30932">
      <w:pPr>
        <w:spacing w:line="340" w:lineRule="exact"/>
        <w:jc w:val="both"/>
        <w:rPr>
          <w:rFonts w:ascii="Garamond" w:hAnsi="Garamond" w:cs="Times New Roman"/>
          <w:bCs/>
          <w:shd w:val="clear" w:color="auto" w:fill="FFFFFF"/>
        </w:rPr>
      </w:pPr>
    </w:p>
    <w:p w14:paraId="7F45B5E4" w14:textId="19ABDFAD" w:rsidR="00CD4EC4" w:rsidRPr="00D828AD" w:rsidRDefault="00CD4EC4" w:rsidP="00F30932">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 xml:space="preserve">Cette présentation </w:t>
      </w:r>
      <w:r w:rsidR="00314A36">
        <w:rPr>
          <w:rFonts w:ascii="Garamond" w:hAnsi="Garamond" w:cs="Times New Roman"/>
          <w:bCs/>
          <w:shd w:val="clear" w:color="auto" w:fill="FFFFFF"/>
        </w:rPr>
        <w:t xml:space="preserve">permet </w:t>
      </w:r>
      <w:r>
        <w:rPr>
          <w:rFonts w:ascii="Garamond" w:hAnsi="Garamond" w:cs="Times New Roman"/>
          <w:bCs/>
          <w:shd w:val="clear" w:color="auto" w:fill="FFFFFF"/>
        </w:rPr>
        <w:t xml:space="preserve">de mettre en évidence ce qui pose </w:t>
      </w:r>
      <w:proofErr w:type="gramStart"/>
      <w:r>
        <w:rPr>
          <w:rFonts w:ascii="Garamond" w:hAnsi="Garamond" w:cs="Times New Roman"/>
          <w:bCs/>
          <w:shd w:val="clear" w:color="auto" w:fill="FFFFFF"/>
        </w:rPr>
        <w:t>problème</w:t>
      </w:r>
      <w:proofErr w:type="gramEnd"/>
      <w:r>
        <w:rPr>
          <w:rFonts w:ascii="Garamond" w:hAnsi="Garamond" w:cs="Times New Roman"/>
          <w:bCs/>
          <w:shd w:val="clear" w:color="auto" w:fill="FFFFFF"/>
        </w:rPr>
        <w:t xml:space="preserve"> dans l’autorité d’une décision juridictionnelle, à savoir la </w:t>
      </w:r>
      <w:r w:rsidRPr="004C7526">
        <w:rPr>
          <w:rFonts w:ascii="Garamond" w:hAnsi="Garamond" w:cs="Times New Roman"/>
          <w:bCs/>
          <w:i/>
          <w:iCs/>
          <w:shd w:val="clear" w:color="auto" w:fill="FFFFFF"/>
        </w:rPr>
        <w:t>signification générale de l’énoncé prescriptif applicable au litige</w:t>
      </w:r>
      <w:r w:rsidR="004C7526">
        <w:rPr>
          <w:rFonts w:ascii="Garamond" w:hAnsi="Garamond" w:cs="Times New Roman"/>
          <w:bCs/>
          <w:shd w:val="clear" w:color="auto" w:fill="FFFFFF"/>
        </w:rPr>
        <w:t xml:space="preserve"> (</w:t>
      </w:r>
      <w:r w:rsidR="00933668">
        <w:rPr>
          <w:rFonts w:ascii="Garamond" w:hAnsi="Garamond" w:cs="Times New Roman"/>
          <w:bCs/>
          <w:shd w:val="clear" w:color="auto" w:fill="FFFFFF"/>
        </w:rPr>
        <w:t xml:space="preserve">étape </w:t>
      </w:r>
      <w:r w:rsidR="004C7526">
        <w:rPr>
          <w:rFonts w:ascii="Garamond" w:hAnsi="Garamond" w:cs="Times New Roman"/>
          <w:bCs/>
          <w:shd w:val="clear" w:color="auto" w:fill="FFFFFF"/>
        </w:rPr>
        <w:t>2.2)</w:t>
      </w:r>
      <w:r>
        <w:rPr>
          <w:rFonts w:ascii="Garamond" w:hAnsi="Garamond" w:cs="Times New Roman"/>
          <w:bCs/>
          <w:shd w:val="clear" w:color="auto" w:fill="FFFFFF"/>
        </w:rPr>
        <w:t>. Lorsque le juge explicite la signification d’un énoncé prescriptif</w:t>
      </w:r>
      <w:r w:rsidR="004C7526">
        <w:rPr>
          <w:rFonts w:ascii="Garamond" w:hAnsi="Garamond" w:cs="Times New Roman"/>
          <w:bCs/>
          <w:shd w:val="clear" w:color="auto" w:fill="FFFFFF"/>
        </w:rPr>
        <w:t>,</w:t>
      </w:r>
      <w:r>
        <w:rPr>
          <w:rFonts w:ascii="Garamond" w:hAnsi="Garamond" w:cs="Times New Roman"/>
          <w:bCs/>
          <w:shd w:val="clear" w:color="auto" w:fill="FFFFFF"/>
        </w:rPr>
        <w:t xml:space="preserve"> il se place dans une certaine mesure en concurrence avec l’auteur de la norme puisqu’il est censé établi</w:t>
      </w:r>
      <w:r w:rsidR="00933668">
        <w:rPr>
          <w:rFonts w:ascii="Garamond" w:hAnsi="Garamond" w:cs="Times New Roman"/>
          <w:bCs/>
          <w:shd w:val="clear" w:color="auto" w:fill="FFFFFF"/>
        </w:rPr>
        <w:t>r</w:t>
      </w:r>
      <w:r>
        <w:rPr>
          <w:rFonts w:ascii="Garamond" w:hAnsi="Garamond" w:cs="Times New Roman"/>
          <w:bCs/>
          <w:shd w:val="clear" w:color="auto" w:fill="FFFFFF"/>
        </w:rPr>
        <w:t xml:space="preserve"> la signification de la norme à partir de l’énoncé prescriptif qu’il doit interpréter, étant entendu que cette signification renvoie précisément à ce que l’auteur de la norme a voulu permettre, interdire ou rendre obligatoire comme comportement</w:t>
      </w:r>
      <w:r w:rsidR="00314A36">
        <w:rPr>
          <w:rFonts w:ascii="Garamond" w:hAnsi="Garamond" w:cs="Times New Roman"/>
          <w:bCs/>
          <w:shd w:val="clear" w:color="auto" w:fill="FFFFFF"/>
        </w:rPr>
        <w:t xml:space="preserve"> général</w:t>
      </w:r>
      <w:r>
        <w:rPr>
          <w:rFonts w:ascii="Garamond" w:hAnsi="Garamond" w:cs="Times New Roman"/>
          <w:bCs/>
          <w:shd w:val="clear" w:color="auto" w:fill="FFFFFF"/>
        </w:rPr>
        <w:t>.</w:t>
      </w:r>
      <w:r w:rsidR="00366698">
        <w:rPr>
          <w:rFonts w:ascii="Garamond" w:hAnsi="Garamond" w:cs="Times New Roman"/>
          <w:bCs/>
          <w:shd w:val="clear" w:color="auto" w:fill="FFFFFF"/>
        </w:rPr>
        <w:t xml:space="preserve"> Il y aurait même un certain paradoxe à énoncer une norme pourtant déjà contenu</w:t>
      </w:r>
      <w:r w:rsidR="004C7526">
        <w:rPr>
          <w:rFonts w:ascii="Garamond" w:hAnsi="Garamond" w:cs="Times New Roman"/>
          <w:bCs/>
          <w:shd w:val="clear" w:color="auto" w:fill="FFFFFF"/>
        </w:rPr>
        <w:t>e</w:t>
      </w:r>
      <w:r w:rsidR="00366698">
        <w:rPr>
          <w:rFonts w:ascii="Garamond" w:hAnsi="Garamond" w:cs="Times New Roman"/>
          <w:bCs/>
          <w:shd w:val="clear" w:color="auto" w:fill="FFFFFF"/>
        </w:rPr>
        <w:t xml:space="preserve"> dans un énoncé censé, précisément, contenir cette norme. Toujours est-il qu’il est possible de qualifier cette difficulté de </w:t>
      </w:r>
      <w:r w:rsidR="00366698" w:rsidRPr="004C7526">
        <w:rPr>
          <w:rFonts w:ascii="Garamond" w:hAnsi="Garamond" w:cs="Times New Roman"/>
          <w:bCs/>
          <w:i/>
          <w:iCs/>
          <w:shd w:val="clear" w:color="auto" w:fill="FFFFFF"/>
        </w:rPr>
        <w:t>p</w:t>
      </w:r>
      <w:r w:rsidR="004C7526">
        <w:rPr>
          <w:rFonts w:ascii="Garamond" w:hAnsi="Garamond" w:cs="Times New Roman"/>
          <w:bCs/>
          <w:i/>
          <w:iCs/>
          <w:shd w:val="clear" w:color="auto" w:fill="FFFFFF"/>
        </w:rPr>
        <w:t>aradoxe</w:t>
      </w:r>
      <w:r w:rsidR="00366698" w:rsidRPr="004C7526">
        <w:rPr>
          <w:rFonts w:ascii="Garamond" w:hAnsi="Garamond" w:cs="Times New Roman"/>
          <w:bCs/>
          <w:i/>
          <w:iCs/>
          <w:shd w:val="clear" w:color="auto" w:fill="FFFFFF"/>
        </w:rPr>
        <w:t xml:space="preserve"> de l’</w:t>
      </w:r>
      <w:r w:rsidR="00366698" w:rsidRPr="00314A36">
        <w:rPr>
          <w:rFonts w:ascii="Garamond" w:hAnsi="Garamond" w:cs="Times New Roman"/>
          <w:bCs/>
          <w:i/>
          <w:iCs/>
          <w:shd w:val="clear" w:color="auto" w:fill="FFFFFF"/>
        </w:rPr>
        <w:t xml:space="preserve">énonciation concurrentielle des normes générales entre le producteur de </w:t>
      </w:r>
      <w:r w:rsidR="00314A36" w:rsidRPr="00314A36">
        <w:rPr>
          <w:rFonts w:ascii="Garamond" w:hAnsi="Garamond" w:cs="Times New Roman"/>
          <w:bCs/>
          <w:i/>
          <w:iCs/>
          <w:shd w:val="clear" w:color="auto" w:fill="FFFFFF"/>
        </w:rPr>
        <w:t xml:space="preserve">ces </w:t>
      </w:r>
      <w:r w:rsidR="00366698" w:rsidRPr="00314A36">
        <w:rPr>
          <w:rFonts w:ascii="Garamond" w:hAnsi="Garamond" w:cs="Times New Roman"/>
          <w:bCs/>
          <w:i/>
          <w:iCs/>
          <w:shd w:val="clear" w:color="auto" w:fill="FFFFFF"/>
        </w:rPr>
        <w:t xml:space="preserve">normes </w:t>
      </w:r>
      <w:r w:rsidR="00314A36" w:rsidRPr="00314A36">
        <w:rPr>
          <w:rFonts w:ascii="Garamond" w:hAnsi="Garamond" w:cs="Times New Roman"/>
          <w:bCs/>
          <w:i/>
          <w:iCs/>
          <w:shd w:val="clear" w:color="auto" w:fill="FFFFFF"/>
        </w:rPr>
        <w:t>et son interprète juridictionnel</w:t>
      </w:r>
      <w:r w:rsidR="00D828AD">
        <w:rPr>
          <w:rFonts w:ascii="Garamond" w:hAnsi="Garamond" w:cs="Times New Roman"/>
          <w:bCs/>
          <w:shd w:val="clear" w:color="auto" w:fill="FFFFFF"/>
        </w:rPr>
        <w:t>.</w:t>
      </w:r>
      <w:r w:rsidR="004C7526">
        <w:rPr>
          <w:rFonts w:ascii="Garamond" w:hAnsi="Garamond" w:cs="Times New Roman"/>
          <w:bCs/>
          <w:shd w:val="clear" w:color="auto" w:fill="FFFFFF"/>
        </w:rPr>
        <w:t xml:space="preserve"> Soit la norme préexiste à ce que dit l’interprète, et alors l’interprète juridictionnel ne pose aucune norme, soit c’est l’interprète qui pose la norme mais alors celle-ci n’existe pas avant son interprétation. Si la question se pose, en pratique, c’est parce que le juge ajoute à la norme générale, s’il n’ajoute rien</w:t>
      </w:r>
      <w:r w:rsidR="00EF2FD8">
        <w:rPr>
          <w:rFonts w:ascii="Garamond" w:hAnsi="Garamond" w:cs="Times New Roman"/>
          <w:bCs/>
          <w:shd w:val="clear" w:color="auto" w:fill="FFFFFF"/>
        </w:rPr>
        <w:t>,</w:t>
      </w:r>
      <w:r w:rsidR="004C7526">
        <w:rPr>
          <w:rFonts w:ascii="Garamond" w:hAnsi="Garamond" w:cs="Times New Roman"/>
          <w:bCs/>
          <w:shd w:val="clear" w:color="auto" w:fill="FFFFFF"/>
        </w:rPr>
        <w:t xml:space="preserve"> le respect des interprétations posées ne soulèverait que peu de difficulté</w:t>
      </w:r>
      <w:r w:rsidR="00287107">
        <w:rPr>
          <w:rFonts w:ascii="Garamond" w:hAnsi="Garamond" w:cs="Times New Roman"/>
          <w:bCs/>
          <w:shd w:val="clear" w:color="auto" w:fill="FFFFFF"/>
        </w:rPr>
        <w:t>s</w:t>
      </w:r>
      <w:r w:rsidR="004C7526">
        <w:rPr>
          <w:rFonts w:ascii="Garamond" w:hAnsi="Garamond" w:cs="Times New Roman"/>
          <w:bCs/>
          <w:shd w:val="clear" w:color="auto" w:fill="FFFFFF"/>
        </w:rPr>
        <w:t>, ce qui renvoie à une question à la fois de compétence pour le faire et de régularité de cet ajout</w:t>
      </w:r>
      <w:r w:rsidR="00C35950">
        <w:rPr>
          <w:rFonts w:ascii="Garamond" w:hAnsi="Garamond" w:cs="Times New Roman"/>
          <w:bCs/>
          <w:shd w:val="clear" w:color="auto" w:fill="FFFFFF"/>
        </w:rPr>
        <w:t xml:space="preserve"> par rapport à la norme textuelle.</w:t>
      </w:r>
    </w:p>
    <w:p w14:paraId="1E53EC93" w14:textId="14A77CCD" w:rsidR="00696E54" w:rsidRDefault="00696E54" w:rsidP="00F30932">
      <w:pPr>
        <w:spacing w:line="340" w:lineRule="exact"/>
        <w:jc w:val="both"/>
        <w:rPr>
          <w:rFonts w:ascii="Garamond" w:hAnsi="Garamond" w:cs="Times New Roman"/>
          <w:bCs/>
          <w:shd w:val="clear" w:color="auto" w:fill="FFFFFF"/>
        </w:rPr>
      </w:pPr>
    </w:p>
    <w:p w14:paraId="786B7D31" w14:textId="471A9153" w:rsidR="00696E54" w:rsidRPr="00D828AD" w:rsidRDefault="00933668" w:rsidP="00F30932">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 xml:space="preserve">L’ajout peut être une reformulation de la norme, problématique, en termes de régularité, si cette reformulation aboutit à poser une autre norme que celle contenue dans l’énoncé textuel. Le plus souvent, en pratique, le juge </w:t>
      </w:r>
      <w:r w:rsidR="009923DD">
        <w:rPr>
          <w:rFonts w:ascii="Garamond" w:hAnsi="Garamond" w:cs="Times New Roman"/>
          <w:bCs/>
          <w:shd w:val="clear" w:color="auto" w:fill="FFFFFF"/>
        </w:rPr>
        <w:t>complète</w:t>
      </w:r>
      <w:r>
        <w:rPr>
          <w:rFonts w:ascii="Garamond" w:hAnsi="Garamond" w:cs="Times New Roman"/>
          <w:bCs/>
          <w:shd w:val="clear" w:color="auto" w:fill="FFFFFF"/>
        </w:rPr>
        <w:t xml:space="preserve"> la norme textuelle en posant</w:t>
      </w:r>
      <w:r w:rsidR="00696E54">
        <w:rPr>
          <w:rFonts w:ascii="Garamond" w:hAnsi="Garamond" w:cs="Times New Roman"/>
          <w:bCs/>
          <w:shd w:val="clear" w:color="auto" w:fill="FFFFFF"/>
        </w:rPr>
        <w:t xml:space="preserve"> les éléments </w:t>
      </w:r>
      <w:r w:rsidR="006E14AA">
        <w:rPr>
          <w:rFonts w:ascii="Garamond" w:hAnsi="Garamond" w:cs="Times New Roman"/>
          <w:bCs/>
          <w:shd w:val="clear" w:color="auto" w:fill="FFFFFF"/>
        </w:rPr>
        <w:t>généraux</w:t>
      </w:r>
      <w:r w:rsidR="00D828AD">
        <w:rPr>
          <w:rFonts w:ascii="Garamond" w:hAnsi="Garamond" w:cs="Times New Roman"/>
          <w:bCs/>
          <w:shd w:val="clear" w:color="auto" w:fill="FFFFFF"/>
        </w:rPr>
        <w:t xml:space="preserve"> et normatifs</w:t>
      </w:r>
      <w:r w:rsidR="006E14AA">
        <w:rPr>
          <w:rFonts w:ascii="Garamond" w:hAnsi="Garamond" w:cs="Times New Roman"/>
          <w:bCs/>
          <w:shd w:val="clear" w:color="auto" w:fill="FFFFFF"/>
        </w:rPr>
        <w:t xml:space="preserve"> </w:t>
      </w:r>
      <w:r w:rsidR="00696E54">
        <w:rPr>
          <w:rFonts w:ascii="Garamond" w:hAnsi="Garamond" w:cs="Times New Roman"/>
          <w:bCs/>
          <w:shd w:val="clear" w:color="auto" w:fill="FFFFFF"/>
        </w:rPr>
        <w:t>à partir desquels il apprécie</w:t>
      </w:r>
      <w:r w:rsidR="00D828AD">
        <w:rPr>
          <w:rFonts w:ascii="Garamond" w:hAnsi="Garamond" w:cs="Times New Roman"/>
          <w:bCs/>
          <w:shd w:val="clear" w:color="auto" w:fill="FFFFFF"/>
        </w:rPr>
        <w:t>ra</w:t>
      </w:r>
      <w:r w:rsidR="00696E54">
        <w:rPr>
          <w:rFonts w:ascii="Garamond" w:hAnsi="Garamond" w:cs="Times New Roman"/>
          <w:bCs/>
          <w:shd w:val="clear" w:color="auto" w:fill="FFFFFF"/>
        </w:rPr>
        <w:t xml:space="preserve"> la régularité des comportement</w:t>
      </w:r>
      <w:r w:rsidR="00654CA2">
        <w:rPr>
          <w:rFonts w:ascii="Garamond" w:hAnsi="Garamond" w:cs="Times New Roman"/>
          <w:bCs/>
          <w:shd w:val="clear" w:color="auto" w:fill="FFFFFF"/>
        </w:rPr>
        <w:t>s</w:t>
      </w:r>
      <w:r w:rsidR="00696E54">
        <w:rPr>
          <w:rFonts w:ascii="Garamond" w:hAnsi="Garamond" w:cs="Times New Roman"/>
          <w:bCs/>
          <w:shd w:val="clear" w:color="auto" w:fill="FFFFFF"/>
        </w:rPr>
        <w:t xml:space="preserve"> ou des normes </w:t>
      </w:r>
      <w:r w:rsidR="00D828AD">
        <w:rPr>
          <w:rFonts w:ascii="Garamond" w:hAnsi="Garamond" w:cs="Times New Roman"/>
          <w:bCs/>
          <w:shd w:val="clear" w:color="auto" w:fill="FFFFFF"/>
        </w:rPr>
        <w:t>avec</w:t>
      </w:r>
      <w:r w:rsidR="00696E54">
        <w:rPr>
          <w:rFonts w:ascii="Garamond" w:hAnsi="Garamond" w:cs="Times New Roman"/>
          <w:bCs/>
          <w:shd w:val="clear" w:color="auto" w:fill="FFFFFF"/>
        </w:rPr>
        <w:t xml:space="preserve"> </w:t>
      </w:r>
      <w:r>
        <w:rPr>
          <w:rFonts w:ascii="Garamond" w:hAnsi="Garamond" w:cs="Times New Roman"/>
          <w:bCs/>
          <w:shd w:val="clear" w:color="auto" w:fill="FFFFFF"/>
        </w:rPr>
        <w:t>cette</w:t>
      </w:r>
      <w:r w:rsidR="00696E54">
        <w:rPr>
          <w:rFonts w:ascii="Garamond" w:hAnsi="Garamond" w:cs="Times New Roman"/>
          <w:bCs/>
          <w:shd w:val="clear" w:color="auto" w:fill="FFFFFF"/>
        </w:rPr>
        <w:t xml:space="preserve"> norme </w:t>
      </w:r>
      <w:r>
        <w:rPr>
          <w:rFonts w:ascii="Garamond" w:hAnsi="Garamond" w:cs="Times New Roman"/>
          <w:bCs/>
          <w:shd w:val="clear" w:color="auto" w:fill="FFFFFF"/>
        </w:rPr>
        <w:t>textuelle</w:t>
      </w:r>
      <w:r w:rsidR="00696E54">
        <w:rPr>
          <w:rFonts w:ascii="Garamond" w:hAnsi="Garamond" w:cs="Times New Roman"/>
          <w:bCs/>
          <w:shd w:val="clear" w:color="auto" w:fill="FFFFFF"/>
        </w:rPr>
        <w:t>.</w:t>
      </w:r>
      <w:r w:rsidR="00741EED">
        <w:rPr>
          <w:rFonts w:ascii="Garamond" w:hAnsi="Garamond" w:cs="Times New Roman"/>
          <w:bCs/>
          <w:shd w:val="clear" w:color="auto" w:fill="FFFFFF"/>
        </w:rPr>
        <w:t xml:space="preserve"> </w:t>
      </w:r>
      <w:r w:rsidR="00D828AD">
        <w:rPr>
          <w:rFonts w:ascii="Garamond" w:hAnsi="Garamond" w:cs="Times New Roman"/>
          <w:bCs/>
          <w:shd w:val="clear" w:color="auto" w:fill="FFFFFF"/>
        </w:rPr>
        <w:t xml:space="preserve">Cette situation sera qualifiée de </w:t>
      </w:r>
      <w:r w:rsidR="00D828AD" w:rsidRPr="00D828AD">
        <w:rPr>
          <w:rFonts w:ascii="Garamond" w:hAnsi="Garamond" w:cs="Times New Roman"/>
          <w:bCs/>
          <w:i/>
          <w:iCs/>
          <w:shd w:val="clear" w:color="auto" w:fill="FFFFFF"/>
        </w:rPr>
        <w:t>concrétisation jurisprudentielle d’énoncés normatifs textuels</w:t>
      </w:r>
      <w:r w:rsidR="00C35950">
        <w:rPr>
          <w:rFonts w:ascii="Garamond" w:hAnsi="Garamond" w:cs="Times New Roman"/>
          <w:bCs/>
          <w:shd w:val="clear" w:color="auto" w:fill="FFFFFF"/>
        </w:rPr>
        <w:t xml:space="preserve"> et elle se situe dans la phase 2.2 précédemment décrite.</w:t>
      </w:r>
    </w:p>
    <w:p w14:paraId="41AF0D92" w14:textId="321F0615" w:rsidR="00654CA2" w:rsidRDefault="00654CA2" w:rsidP="00F30932">
      <w:pPr>
        <w:spacing w:line="340" w:lineRule="exact"/>
        <w:jc w:val="both"/>
        <w:rPr>
          <w:rFonts w:ascii="Garamond" w:hAnsi="Garamond" w:cs="Times New Roman"/>
          <w:bCs/>
          <w:shd w:val="clear" w:color="auto" w:fill="FFFFFF"/>
        </w:rPr>
      </w:pPr>
    </w:p>
    <w:p w14:paraId="6B3916C3" w14:textId="6801A456" w:rsidR="00C31B4B" w:rsidRDefault="00C31B4B" w:rsidP="00F30932">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Cette lecture peut être illustrée à partir de l’ar</w:t>
      </w:r>
      <w:r w:rsidR="00C35950">
        <w:rPr>
          <w:rFonts w:ascii="Garamond" w:hAnsi="Garamond" w:cs="Times New Roman"/>
          <w:bCs/>
          <w:shd w:val="clear" w:color="auto" w:fill="FFFFFF"/>
        </w:rPr>
        <w:t>t</w:t>
      </w:r>
      <w:r>
        <w:rPr>
          <w:rFonts w:ascii="Garamond" w:hAnsi="Garamond" w:cs="Times New Roman"/>
          <w:bCs/>
          <w:shd w:val="clear" w:color="auto" w:fill="FFFFFF"/>
        </w:rPr>
        <w:t>icle 10 de la Convention. Cet article stipule que :</w:t>
      </w:r>
    </w:p>
    <w:p w14:paraId="1F0F8881" w14:textId="77777777" w:rsidR="00C31B4B" w:rsidRDefault="00C31B4B" w:rsidP="00C31B4B">
      <w:pPr>
        <w:spacing w:line="340" w:lineRule="exact"/>
        <w:ind w:left="1134" w:right="850"/>
        <w:jc w:val="both"/>
        <w:rPr>
          <w:rFonts w:ascii="Garamond" w:hAnsi="Garamond" w:cs="Times New Roman"/>
          <w:bCs/>
          <w:shd w:val="clear" w:color="auto" w:fill="FFFFFF"/>
        </w:rPr>
      </w:pPr>
    </w:p>
    <w:p w14:paraId="2DD0E225" w14:textId="7FA2AE8E" w:rsidR="00654CA2" w:rsidRPr="00C31B4B" w:rsidRDefault="00C31B4B" w:rsidP="00C31B4B">
      <w:pPr>
        <w:spacing w:line="340" w:lineRule="exact"/>
        <w:ind w:left="1134" w:right="850"/>
        <w:jc w:val="both"/>
        <w:rPr>
          <w:rFonts w:ascii="Garamond" w:hAnsi="Garamond" w:cs="Times New Roman"/>
          <w:bCs/>
          <w:i/>
          <w:iCs/>
          <w:shd w:val="clear" w:color="auto" w:fill="FFFFFF"/>
        </w:rPr>
      </w:pPr>
      <w:r w:rsidRPr="00C31B4B">
        <w:rPr>
          <w:rFonts w:ascii="Garamond" w:hAnsi="Garamond" w:cs="Times New Roman"/>
          <w:bCs/>
          <w:i/>
          <w:iCs/>
          <w:shd w:val="clear" w:color="auto" w:fill="FFFFFF"/>
        </w:rPr>
        <w:t>« </w:t>
      </w:r>
      <w:r w:rsidR="00654CA2" w:rsidRPr="00C31B4B">
        <w:rPr>
          <w:rFonts w:ascii="Garamond" w:hAnsi="Garamond" w:cs="Times New Roman"/>
          <w:bCs/>
          <w:i/>
          <w:iCs/>
          <w:shd w:val="clear" w:color="auto" w:fill="FFFFFF"/>
        </w:rPr>
        <w:t xml:space="preserve">1. Toute personne a droit </w:t>
      </w:r>
      <w:proofErr w:type="spellStart"/>
      <w:r w:rsidR="00654CA2" w:rsidRPr="00C31B4B">
        <w:rPr>
          <w:rFonts w:ascii="Garamond" w:hAnsi="Garamond" w:cs="Times New Roman"/>
          <w:bCs/>
          <w:i/>
          <w:iCs/>
          <w:shd w:val="clear" w:color="auto" w:fill="FFFFFF"/>
        </w:rPr>
        <w:t>a</w:t>
      </w:r>
      <w:proofErr w:type="spellEnd"/>
      <w:r w:rsidR="00654CA2" w:rsidRPr="00C31B4B">
        <w:rPr>
          <w:rFonts w:ascii="Garamond" w:hAnsi="Garamond" w:cs="Times New Roman"/>
          <w:bCs/>
          <w:i/>
          <w:iCs/>
          <w:shd w:val="clear" w:color="auto" w:fill="FFFFFF"/>
        </w:rPr>
        <w:t xml:space="preserve">̀ la </w:t>
      </w:r>
      <w:proofErr w:type="spellStart"/>
      <w:r w:rsidR="00654CA2" w:rsidRPr="00C31B4B">
        <w:rPr>
          <w:rFonts w:ascii="Garamond" w:hAnsi="Garamond" w:cs="Times New Roman"/>
          <w:bCs/>
          <w:i/>
          <w:iCs/>
          <w:shd w:val="clear" w:color="auto" w:fill="FFFFFF"/>
        </w:rPr>
        <w:t>liberte</w:t>
      </w:r>
      <w:proofErr w:type="spellEnd"/>
      <w:r w:rsidR="00654CA2" w:rsidRPr="00C31B4B">
        <w:rPr>
          <w:rFonts w:ascii="Garamond" w:hAnsi="Garamond" w:cs="Times New Roman"/>
          <w:bCs/>
          <w:i/>
          <w:iCs/>
          <w:shd w:val="clear" w:color="auto" w:fill="FFFFFF"/>
        </w:rPr>
        <w:t xml:space="preserve">́ d’expression. Ce droit comprend la </w:t>
      </w:r>
      <w:proofErr w:type="spellStart"/>
      <w:r w:rsidR="00654CA2" w:rsidRPr="00C31B4B">
        <w:rPr>
          <w:rFonts w:ascii="Garamond" w:hAnsi="Garamond" w:cs="Times New Roman"/>
          <w:bCs/>
          <w:i/>
          <w:iCs/>
          <w:shd w:val="clear" w:color="auto" w:fill="FFFFFF"/>
        </w:rPr>
        <w:t>liberte</w:t>
      </w:r>
      <w:proofErr w:type="spellEnd"/>
      <w:r w:rsidR="00654CA2" w:rsidRPr="00C31B4B">
        <w:rPr>
          <w:rFonts w:ascii="Garamond" w:hAnsi="Garamond" w:cs="Times New Roman"/>
          <w:bCs/>
          <w:i/>
          <w:iCs/>
          <w:shd w:val="clear" w:color="auto" w:fill="FFFFFF"/>
        </w:rPr>
        <w:t xml:space="preserve">́ d’opinion et la </w:t>
      </w:r>
      <w:proofErr w:type="spellStart"/>
      <w:r w:rsidR="00654CA2" w:rsidRPr="00C31B4B">
        <w:rPr>
          <w:rFonts w:ascii="Garamond" w:hAnsi="Garamond" w:cs="Times New Roman"/>
          <w:bCs/>
          <w:i/>
          <w:iCs/>
          <w:shd w:val="clear" w:color="auto" w:fill="FFFFFF"/>
        </w:rPr>
        <w:t>liberte</w:t>
      </w:r>
      <w:proofErr w:type="spellEnd"/>
      <w:r w:rsidR="00654CA2" w:rsidRPr="00C31B4B">
        <w:rPr>
          <w:rFonts w:ascii="Garamond" w:hAnsi="Garamond" w:cs="Times New Roman"/>
          <w:bCs/>
          <w:i/>
          <w:iCs/>
          <w:shd w:val="clear" w:color="auto" w:fill="FFFFFF"/>
        </w:rPr>
        <w:t xml:space="preserve">́ de recevoir ou de communiquer des informations ou des </w:t>
      </w:r>
      <w:proofErr w:type="spellStart"/>
      <w:r w:rsidR="00654CA2" w:rsidRPr="00C31B4B">
        <w:rPr>
          <w:rFonts w:ascii="Garamond" w:hAnsi="Garamond" w:cs="Times New Roman"/>
          <w:bCs/>
          <w:i/>
          <w:iCs/>
          <w:shd w:val="clear" w:color="auto" w:fill="FFFFFF"/>
        </w:rPr>
        <w:t>idées</w:t>
      </w:r>
      <w:proofErr w:type="spellEnd"/>
      <w:r w:rsidR="00654CA2" w:rsidRPr="00C31B4B">
        <w:rPr>
          <w:rFonts w:ascii="Garamond" w:hAnsi="Garamond" w:cs="Times New Roman"/>
          <w:bCs/>
          <w:i/>
          <w:iCs/>
          <w:shd w:val="clear" w:color="auto" w:fill="FFFFFF"/>
        </w:rPr>
        <w:t xml:space="preserve"> sans qu’il puisse y avoir </w:t>
      </w:r>
      <w:proofErr w:type="spellStart"/>
      <w:r w:rsidR="00654CA2" w:rsidRPr="00C31B4B">
        <w:rPr>
          <w:rFonts w:ascii="Garamond" w:hAnsi="Garamond" w:cs="Times New Roman"/>
          <w:bCs/>
          <w:i/>
          <w:iCs/>
          <w:shd w:val="clear" w:color="auto" w:fill="FFFFFF"/>
        </w:rPr>
        <w:t>ingérence</w:t>
      </w:r>
      <w:proofErr w:type="spellEnd"/>
      <w:r w:rsidR="00654CA2" w:rsidRPr="00C31B4B">
        <w:rPr>
          <w:rFonts w:ascii="Garamond" w:hAnsi="Garamond" w:cs="Times New Roman"/>
          <w:bCs/>
          <w:i/>
          <w:iCs/>
          <w:shd w:val="clear" w:color="auto" w:fill="FFFFFF"/>
        </w:rPr>
        <w:t xml:space="preserve"> d’</w:t>
      </w:r>
      <w:proofErr w:type="spellStart"/>
      <w:r w:rsidR="00654CA2" w:rsidRPr="00C31B4B">
        <w:rPr>
          <w:rFonts w:ascii="Garamond" w:hAnsi="Garamond" w:cs="Times New Roman"/>
          <w:bCs/>
          <w:i/>
          <w:iCs/>
          <w:shd w:val="clear" w:color="auto" w:fill="FFFFFF"/>
        </w:rPr>
        <w:t>autorités</w:t>
      </w:r>
      <w:proofErr w:type="spellEnd"/>
      <w:r w:rsidR="00654CA2" w:rsidRPr="00C31B4B">
        <w:rPr>
          <w:rFonts w:ascii="Garamond" w:hAnsi="Garamond" w:cs="Times New Roman"/>
          <w:bCs/>
          <w:i/>
          <w:iCs/>
          <w:shd w:val="clear" w:color="auto" w:fill="FFFFFF"/>
        </w:rPr>
        <w:t xml:space="preserve"> publiques et sans </w:t>
      </w:r>
      <w:proofErr w:type="spellStart"/>
      <w:r w:rsidR="00654CA2" w:rsidRPr="00C31B4B">
        <w:rPr>
          <w:rFonts w:ascii="Garamond" w:hAnsi="Garamond" w:cs="Times New Roman"/>
          <w:bCs/>
          <w:i/>
          <w:iCs/>
          <w:shd w:val="clear" w:color="auto" w:fill="FFFFFF"/>
        </w:rPr>
        <w:t>considération</w:t>
      </w:r>
      <w:proofErr w:type="spellEnd"/>
      <w:r w:rsidR="00654CA2" w:rsidRPr="00C31B4B">
        <w:rPr>
          <w:rFonts w:ascii="Garamond" w:hAnsi="Garamond" w:cs="Times New Roman"/>
          <w:bCs/>
          <w:i/>
          <w:iCs/>
          <w:shd w:val="clear" w:color="auto" w:fill="FFFFFF"/>
        </w:rPr>
        <w:t xml:space="preserve"> de </w:t>
      </w:r>
      <w:proofErr w:type="spellStart"/>
      <w:r w:rsidR="00654CA2" w:rsidRPr="00C31B4B">
        <w:rPr>
          <w:rFonts w:ascii="Garamond" w:hAnsi="Garamond" w:cs="Times New Roman"/>
          <w:bCs/>
          <w:i/>
          <w:iCs/>
          <w:shd w:val="clear" w:color="auto" w:fill="FFFFFF"/>
        </w:rPr>
        <w:t>frontière</w:t>
      </w:r>
      <w:proofErr w:type="spellEnd"/>
      <w:r w:rsidR="00654CA2" w:rsidRPr="00C31B4B">
        <w:rPr>
          <w:rFonts w:ascii="Garamond" w:hAnsi="Garamond" w:cs="Times New Roman"/>
          <w:bCs/>
          <w:i/>
          <w:iCs/>
          <w:shd w:val="clear" w:color="auto" w:fill="FFFFFF"/>
        </w:rPr>
        <w:t xml:space="preserve">. Le </w:t>
      </w:r>
      <w:proofErr w:type="spellStart"/>
      <w:r w:rsidR="00654CA2" w:rsidRPr="00C31B4B">
        <w:rPr>
          <w:rFonts w:ascii="Garamond" w:hAnsi="Garamond" w:cs="Times New Roman"/>
          <w:bCs/>
          <w:i/>
          <w:iCs/>
          <w:shd w:val="clear" w:color="auto" w:fill="FFFFFF"/>
        </w:rPr>
        <w:t>présent</w:t>
      </w:r>
      <w:proofErr w:type="spellEnd"/>
      <w:r w:rsidR="00654CA2" w:rsidRPr="00C31B4B">
        <w:rPr>
          <w:rFonts w:ascii="Garamond" w:hAnsi="Garamond" w:cs="Times New Roman"/>
          <w:bCs/>
          <w:i/>
          <w:iCs/>
          <w:shd w:val="clear" w:color="auto" w:fill="FFFFFF"/>
        </w:rPr>
        <w:t xml:space="preserve"> article n’</w:t>
      </w:r>
      <w:proofErr w:type="spellStart"/>
      <w:r w:rsidR="00654CA2" w:rsidRPr="00C31B4B">
        <w:rPr>
          <w:rFonts w:ascii="Garamond" w:hAnsi="Garamond" w:cs="Times New Roman"/>
          <w:bCs/>
          <w:i/>
          <w:iCs/>
          <w:shd w:val="clear" w:color="auto" w:fill="FFFFFF"/>
        </w:rPr>
        <w:t>empêche</w:t>
      </w:r>
      <w:proofErr w:type="spellEnd"/>
      <w:r w:rsidR="00654CA2" w:rsidRPr="00C31B4B">
        <w:rPr>
          <w:rFonts w:ascii="Garamond" w:hAnsi="Garamond" w:cs="Times New Roman"/>
          <w:bCs/>
          <w:i/>
          <w:iCs/>
          <w:shd w:val="clear" w:color="auto" w:fill="FFFFFF"/>
        </w:rPr>
        <w:t xml:space="preserve"> pas les </w:t>
      </w:r>
      <w:proofErr w:type="spellStart"/>
      <w:r w:rsidR="00654CA2" w:rsidRPr="00C31B4B">
        <w:rPr>
          <w:rFonts w:ascii="Garamond" w:hAnsi="Garamond" w:cs="Times New Roman"/>
          <w:bCs/>
          <w:i/>
          <w:iCs/>
          <w:shd w:val="clear" w:color="auto" w:fill="FFFFFF"/>
        </w:rPr>
        <w:t>États</w:t>
      </w:r>
      <w:proofErr w:type="spellEnd"/>
      <w:r w:rsidR="00654CA2" w:rsidRPr="00C31B4B">
        <w:rPr>
          <w:rFonts w:ascii="Garamond" w:hAnsi="Garamond" w:cs="Times New Roman"/>
          <w:bCs/>
          <w:i/>
          <w:iCs/>
          <w:shd w:val="clear" w:color="auto" w:fill="FFFFFF"/>
        </w:rPr>
        <w:t xml:space="preserve"> de soumettre les entreprises de radiodiffusion, de </w:t>
      </w:r>
      <w:proofErr w:type="spellStart"/>
      <w:r w:rsidR="00654CA2" w:rsidRPr="00C31B4B">
        <w:rPr>
          <w:rFonts w:ascii="Garamond" w:hAnsi="Garamond" w:cs="Times New Roman"/>
          <w:bCs/>
          <w:i/>
          <w:iCs/>
          <w:shd w:val="clear" w:color="auto" w:fill="FFFFFF"/>
        </w:rPr>
        <w:t>cinéma</w:t>
      </w:r>
      <w:proofErr w:type="spellEnd"/>
      <w:r w:rsidR="00654CA2" w:rsidRPr="00C31B4B">
        <w:rPr>
          <w:rFonts w:ascii="Garamond" w:hAnsi="Garamond" w:cs="Times New Roman"/>
          <w:bCs/>
          <w:i/>
          <w:iCs/>
          <w:shd w:val="clear" w:color="auto" w:fill="FFFFFF"/>
        </w:rPr>
        <w:t xml:space="preserve"> ou de </w:t>
      </w:r>
      <w:proofErr w:type="spellStart"/>
      <w:r w:rsidR="00654CA2" w:rsidRPr="00C31B4B">
        <w:rPr>
          <w:rFonts w:ascii="Garamond" w:hAnsi="Garamond" w:cs="Times New Roman"/>
          <w:bCs/>
          <w:i/>
          <w:iCs/>
          <w:shd w:val="clear" w:color="auto" w:fill="FFFFFF"/>
        </w:rPr>
        <w:t>télévision</w:t>
      </w:r>
      <w:proofErr w:type="spellEnd"/>
      <w:r w:rsidR="00654CA2" w:rsidRPr="00C31B4B">
        <w:rPr>
          <w:rFonts w:ascii="Garamond" w:hAnsi="Garamond" w:cs="Times New Roman"/>
          <w:bCs/>
          <w:i/>
          <w:iCs/>
          <w:shd w:val="clear" w:color="auto" w:fill="FFFFFF"/>
        </w:rPr>
        <w:t xml:space="preserve"> à un </w:t>
      </w:r>
      <w:proofErr w:type="spellStart"/>
      <w:r w:rsidR="00654CA2" w:rsidRPr="00C31B4B">
        <w:rPr>
          <w:rFonts w:ascii="Garamond" w:hAnsi="Garamond" w:cs="Times New Roman"/>
          <w:bCs/>
          <w:i/>
          <w:iCs/>
          <w:shd w:val="clear" w:color="auto" w:fill="FFFFFF"/>
        </w:rPr>
        <w:t>régime</w:t>
      </w:r>
      <w:proofErr w:type="spellEnd"/>
      <w:r w:rsidR="00654CA2" w:rsidRPr="00C31B4B">
        <w:rPr>
          <w:rFonts w:ascii="Garamond" w:hAnsi="Garamond" w:cs="Times New Roman"/>
          <w:bCs/>
          <w:i/>
          <w:iCs/>
          <w:shd w:val="clear" w:color="auto" w:fill="FFFFFF"/>
        </w:rPr>
        <w:t xml:space="preserve"> d’autorisations.</w:t>
      </w:r>
    </w:p>
    <w:p w14:paraId="2E2A26EC" w14:textId="77777777" w:rsidR="00C31B4B" w:rsidRPr="00C31B4B" w:rsidRDefault="00654CA2" w:rsidP="00C31B4B">
      <w:pPr>
        <w:spacing w:line="340" w:lineRule="exact"/>
        <w:ind w:left="1134" w:right="850"/>
        <w:jc w:val="both"/>
        <w:rPr>
          <w:rFonts w:ascii="Garamond" w:hAnsi="Garamond" w:cs="Times New Roman"/>
          <w:bCs/>
          <w:i/>
          <w:iCs/>
          <w:shd w:val="clear" w:color="auto" w:fill="FFFFFF"/>
        </w:rPr>
      </w:pPr>
      <w:r w:rsidRPr="00C31B4B">
        <w:rPr>
          <w:rFonts w:ascii="Garamond" w:hAnsi="Garamond" w:cs="Times New Roman"/>
          <w:bCs/>
          <w:i/>
          <w:iCs/>
          <w:shd w:val="clear" w:color="auto" w:fill="FFFFFF"/>
        </w:rPr>
        <w:t xml:space="preserve">2. L’exercice de ces </w:t>
      </w:r>
      <w:proofErr w:type="spellStart"/>
      <w:r w:rsidRPr="00C31B4B">
        <w:rPr>
          <w:rFonts w:ascii="Garamond" w:hAnsi="Garamond" w:cs="Times New Roman"/>
          <w:bCs/>
          <w:i/>
          <w:iCs/>
          <w:shd w:val="clear" w:color="auto" w:fill="FFFFFF"/>
        </w:rPr>
        <w:t>libertés</w:t>
      </w:r>
      <w:proofErr w:type="spellEnd"/>
      <w:r w:rsidRPr="00C31B4B">
        <w:rPr>
          <w:rFonts w:ascii="Garamond" w:hAnsi="Garamond" w:cs="Times New Roman"/>
          <w:bCs/>
          <w:i/>
          <w:iCs/>
          <w:shd w:val="clear" w:color="auto" w:fill="FFFFFF"/>
        </w:rPr>
        <w:t xml:space="preserve"> comportant des devoirs et des </w:t>
      </w:r>
      <w:proofErr w:type="spellStart"/>
      <w:r w:rsidRPr="00C31B4B">
        <w:rPr>
          <w:rFonts w:ascii="Garamond" w:hAnsi="Garamond" w:cs="Times New Roman"/>
          <w:bCs/>
          <w:i/>
          <w:iCs/>
          <w:shd w:val="clear" w:color="auto" w:fill="FFFFFF"/>
        </w:rPr>
        <w:t>responsabilités</w:t>
      </w:r>
      <w:proofErr w:type="spellEnd"/>
      <w:r w:rsidRPr="00C31B4B">
        <w:rPr>
          <w:rFonts w:ascii="Garamond" w:hAnsi="Garamond" w:cs="Times New Roman"/>
          <w:bCs/>
          <w:i/>
          <w:iCs/>
          <w:shd w:val="clear" w:color="auto" w:fill="FFFFFF"/>
        </w:rPr>
        <w:t xml:space="preserve"> peut </w:t>
      </w:r>
      <w:proofErr w:type="spellStart"/>
      <w:r w:rsidRPr="00C31B4B">
        <w:rPr>
          <w:rFonts w:ascii="Garamond" w:hAnsi="Garamond" w:cs="Times New Roman"/>
          <w:bCs/>
          <w:i/>
          <w:iCs/>
          <w:shd w:val="clear" w:color="auto" w:fill="FFFFFF"/>
        </w:rPr>
        <w:t>être</w:t>
      </w:r>
      <w:proofErr w:type="spellEnd"/>
      <w:r w:rsidRPr="00C31B4B">
        <w:rPr>
          <w:rFonts w:ascii="Garamond" w:hAnsi="Garamond" w:cs="Times New Roman"/>
          <w:bCs/>
          <w:i/>
          <w:iCs/>
          <w:shd w:val="clear" w:color="auto" w:fill="FFFFFF"/>
        </w:rPr>
        <w:t xml:space="preserve"> soumis </w:t>
      </w:r>
      <w:proofErr w:type="spellStart"/>
      <w:r w:rsidRPr="00C31B4B">
        <w:rPr>
          <w:rFonts w:ascii="Garamond" w:hAnsi="Garamond" w:cs="Times New Roman"/>
          <w:bCs/>
          <w:i/>
          <w:iCs/>
          <w:shd w:val="clear" w:color="auto" w:fill="FFFFFF"/>
        </w:rPr>
        <w:t>a</w:t>
      </w:r>
      <w:proofErr w:type="spellEnd"/>
      <w:r w:rsidRPr="00C31B4B">
        <w:rPr>
          <w:rFonts w:ascii="Garamond" w:hAnsi="Garamond" w:cs="Times New Roman"/>
          <w:bCs/>
          <w:i/>
          <w:iCs/>
          <w:shd w:val="clear" w:color="auto" w:fill="FFFFFF"/>
        </w:rPr>
        <w:t xml:space="preserve">̀ certaines </w:t>
      </w:r>
      <w:proofErr w:type="spellStart"/>
      <w:r w:rsidRPr="00C31B4B">
        <w:rPr>
          <w:rFonts w:ascii="Garamond" w:hAnsi="Garamond" w:cs="Times New Roman"/>
          <w:bCs/>
          <w:i/>
          <w:iCs/>
          <w:shd w:val="clear" w:color="auto" w:fill="FFFFFF"/>
        </w:rPr>
        <w:t>formalités</w:t>
      </w:r>
      <w:proofErr w:type="spellEnd"/>
      <w:r w:rsidRPr="00C31B4B">
        <w:rPr>
          <w:rFonts w:ascii="Garamond" w:hAnsi="Garamond" w:cs="Times New Roman"/>
          <w:bCs/>
          <w:i/>
          <w:iCs/>
          <w:shd w:val="clear" w:color="auto" w:fill="FFFFFF"/>
        </w:rPr>
        <w:t xml:space="preserve">, conditions, restrictions ou sanctions </w:t>
      </w:r>
      <w:proofErr w:type="spellStart"/>
      <w:r w:rsidRPr="00C31B4B">
        <w:rPr>
          <w:rFonts w:ascii="Garamond" w:hAnsi="Garamond" w:cs="Times New Roman"/>
          <w:bCs/>
          <w:i/>
          <w:iCs/>
          <w:shd w:val="clear" w:color="auto" w:fill="FFFFFF"/>
        </w:rPr>
        <w:t>prévues</w:t>
      </w:r>
      <w:proofErr w:type="spellEnd"/>
      <w:r w:rsidRPr="00C31B4B">
        <w:rPr>
          <w:rFonts w:ascii="Garamond" w:hAnsi="Garamond" w:cs="Times New Roman"/>
          <w:bCs/>
          <w:i/>
          <w:iCs/>
          <w:shd w:val="clear" w:color="auto" w:fill="FFFFFF"/>
        </w:rPr>
        <w:t xml:space="preserve"> par la loi, qui constituent des mesures </w:t>
      </w:r>
      <w:proofErr w:type="spellStart"/>
      <w:r w:rsidRPr="00C31B4B">
        <w:rPr>
          <w:rFonts w:ascii="Garamond" w:hAnsi="Garamond" w:cs="Times New Roman"/>
          <w:bCs/>
          <w:i/>
          <w:iCs/>
          <w:shd w:val="clear" w:color="auto" w:fill="FFFFFF"/>
        </w:rPr>
        <w:t>nécessaires</w:t>
      </w:r>
      <w:proofErr w:type="spellEnd"/>
      <w:r w:rsidRPr="00C31B4B">
        <w:rPr>
          <w:rFonts w:ascii="Garamond" w:hAnsi="Garamond" w:cs="Times New Roman"/>
          <w:bCs/>
          <w:i/>
          <w:iCs/>
          <w:shd w:val="clear" w:color="auto" w:fill="FFFFFF"/>
        </w:rPr>
        <w:t xml:space="preserve">, dans une </w:t>
      </w:r>
      <w:proofErr w:type="spellStart"/>
      <w:r w:rsidRPr="00C31B4B">
        <w:rPr>
          <w:rFonts w:ascii="Garamond" w:hAnsi="Garamond" w:cs="Times New Roman"/>
          <w:bCs/>
          <w:i/>
          <w:iCs/>
          <w:shd w:val="clear" w:color="auto" w:fill="FFFFFF"/>
        </w:rPr>
        <w:t>sociéte</w:t>
      </w:r>
      <w:proofErr w:type="spellEnd"/>
      <w:r w:rsidRPr="00C31B4B">
        <w:rPr>
          <w:rFonts w:ascii="Garamond" w:hAnsi="Garamond" w:cs="Times New Roman"/>
          <w:bCs/>
          <w:i/>
          <w:iCs/>
          <w:shd w:val="clear" w:color="auto" w:fill="FFFFFF"/>
        </w:rPr>
        <w:t xml:space="preserve">́ </w:t>
      </w:r>
      <w:proofErr w:type="spellStart"/>
      <w:r w:rsidRPr="00C31B4B">
        <w:rPr>
          <w:rFonts w:ascii="Garamond" w:hAnsi="Garamond" w:cs="Times New Roman"/>
          <w:bCs/>
          <w:i/>
          <w:iCs/>
          <w:shd w:val="clear" w:color="auto" w:fill="FFFFFF"/>
        </w:rPr>
        <w:t>démocratique</w:t>
      </w:r>
      <w:proofErr w:type="spellEnd"/>
      <w:r w:rsidRPr="00C31B4B">
        <w:rPr>
          <w:rFonts w:ascii="Garamond" w:hAnsi="Garamond" w:cs="Times New Roman"/>
          <w:bCs/>
          <w:i/>
          <w:iCs/>
          <w:shd w:val="clear" w:color="auto" w:fill="FFFFFF"/>
        </w:rPr>
        <w:t xml:space="preserve">, à la </w:t>
      </w:r>
      <w:proofErr w:type="spellStart"/>
      <w:r w:rsidRPr="00C31B4B">
        <w:rPr>
          <w:rFonts w:ascii="Garamond" w:hAnsi="Garamond" w:cs="Times New Roman"/>
          <w:bCs/>
          <w:i/>
          <w:iCs/>
          <w:shd w:val="clear" w:color="auto" w:fill="FFFFFF"/>
        </w:rPr>
        <w:t>sécurite</w:t>
      </w:r>
      <w:proofErr w:type="spellEnd"/>
      <w:r w:rsidRPr="00C31B4B">
        <w:rPr>
          <w:rFonts w:ascii="Garamond" w:hAnsi="Garamond" w:cs="Times New Roman"/>
          <w:bCs/>
          <w:i/>
          <w:iCs/>
          <w:shd w:val="clear" w:color="auto" w:fill="FFFFFF"/>
        </w:rPr>
        <w:t>́ nationale, à l’</w:t>
      </w:r>
      <w:proofErr w:type="spellStart"/>
      <w:r w:rsidRPr="00C31B4B">
        <w:rPr>
          <w:rFonts w:ascii="Garamond" w:hAnsi="Garamond" w:cs="Times New Roman"/>
          <w:bCs/>
          <w:i/>
          <w:iCs/>
          <w:shd w:val="clear" w:color="auto" w:fill="FFFFFF"/>
        </w:rPr>
        <w:t>intégrite</w:t>
      </w:r>
      <w:proofErr w:type="spellEnd"/>
      <w:r w:rsidRPr="00C31B4B">
        <w:rPr>
          <w:rFonts w:ascii="Garamond" w:hAnsi="Garamond" w:cs="Times New Roman"/>
          <w:bCs/>
          <w:i/>
          <w:iCs/>
          <w:shd w:val="clear" w:color="auto" w:fill="FFFFFF"/>
        </w:rPr>
        <w:t xml:space="preserve">́ territoriale ou à la </w:t>
      </w:r>
      <w:proofErr w:type="spellStart"/>
      <w:r w:rsidRPr="00C31B4B">
        <w:rPr>
          <w:rFonts w:ascii="Garamond" w:hAnsi="Garamond" w:cs="Times New Roman"/>
          <w:bCs/>
          <w:i/>
          <w:iCs/>
          <w:shd w:val="clear" w:color="auto" w:fill="FFFFFF"/>
        </w:rPr>
        <w:t>sûrete</w:t>
      </w:r>
      <w:proofErr w:type="spellEnd"/>
      <w:r w:rsidRPr="00C31B4B">
        <w:rPr>
          <w:rFonts w:ascii="Garamond" w:hAnsi="Garamond" w:cs="Times New Roman"/>
          <w:bCs/>
          <w:i/>
          <w:iCs/>
          <w:shd w:val="clear" w:color="auto" w:fill="FFFFFF"/>
        </w:rPr>
        <w:t xml:space="preserve">́ publique, à la </w:t>
      </w:r>
      <w:proofErr w:type="spellStart"/>
      <w:r w:rsidRPr="00C31B4B">
        <w:rPr>
          <w:rFonts w:ascii="Garamond" w:hAnsi="Garamond" w:cs="Times New Roman"/>
          <w:bCs/>
          <w:i/>
          <w:iCs/>
          <w:shd w:val="clear" w:color="auto" w:fill="FFFFFF"/>
        </w:rPr>
        <w:t>défense</w:t>
      </w:r>
      <w:proofErr w:type="spellEnd"/>
      <w:r w:rsidRPr="00C31B4B">
        <w:rPr>
          <w:rFonts w:ascii="Garamond" w:hAnsi="Garamond" w:cs="Times New Roman"/>
          <w:bCs/>
          <w:i/>
          <w:iCs/>
          <w:shd w:val="clear" w:color="auto" w:fill="FFFFFF"/>
        </w:rPr>
        <w:t xml:space="preserve"> de l’ordre et à la </w:t>
      </w:r>
      <w:proofErr w:type="spellStart"/>
      <w:r w:rsidRPr="00C31B4B">
        <w:rPr>
          <w:rFonts w:ascii="Garamond" w:hAnsi="Garamond" w:cs="Times New Roman"/>
          <w:bCs/>
          <w:i/>
          <w:iCs/>
          <w:shd w:val="clear" w:color="auto" w:fill="FFFFFF"/>
        </w:rPr>
        <w:t>prévention</w:t>
      </w:r>
      <w:proofErr w:type="spellEnd"/>
      <w:r w:rsidRPr="00C31B4B">
        <w:rPr>
          <w:rFonts w:ascii="Garamond" w:hAnsi="Garamond" w:cs="Times New Roman"/>
          <w:bCs/>
          <w:i/>
          <w:iCs/>
          <w:shd w:val="clear" w:color="auto" w:fill="FFFFFF"/>
        </w:rPr>
        <w:t xml:space="preserve"> du crime, à la protection de la santé ou de la morale, à la protection de la </w:t>
      </w:r>
      <w:proofErr w:type="spellStart"/>
      <w:r w:rsidRPr="00C31B4B">
        <w:rPr>
          <w:rFonts w:ascii="Garamond" w:hAnsi="Garamond" w:cs="Times New Roman"/>
          <w:bCs/>
          <w:i/>
          <w:iCs/>
          <w:shd w:val="clear" w:color="auto" w:fill="FFFFFF"/>
        </w:rPr>
        <w:t>réputation</w:t>
      </w:r>
      <w:proofErr w:type="spellEnd"/>
      <w:r w:rsidRPr="00C31B4B">
        <w:rPr>
          <w:rFonts w:ascii="Garamond" w:hAnsi="Garamond" w:cs="Times New Roman"/>
          <w:bCs/>
          <w:i/>
          <w:iCs/>
          <w:shd w:val="clear" w:color="auto" w:fill="FFFFFF"/>
        </w:rPr>
        <w:t xml:space="preserve"> ou des droits d’autrui, pour </w:t>
      </w:r>
      <w:proofErr w:type="spellStart"/>
      <w:r w:rsidRPr="00C31B4B">
        <w:rPr>
          <w:rFonts w:ascii="Garamond" w:hAnsi="Garamond" w:cs="Times New Roman"/>
          <w:bCs/>
          <w:i/>
          <w:iCs/>
          <w:shd w:val="clear" w:color="auto" w:fill="FFFFFF"/>
        </w:rPr>
        <w:t>empêcher</w:t>
      </w:r>
      <w:proofErr w:type="spellEnd"/>
      <w:r w:rsidRPr="00C31B4B">
        <w:rPr>
          <w:rFonts w:ascii="Garamond" w:hAnsi="Garamond" w:cs="Times New Roman"/>
          <w:bCs/>
          <w:i/>
          <w:iCs/>
          <w:shd w:val="clear" w:color="auto" w:fill="FFFFFF"/>
        </w:rPr>
        <w:t xml:space="preserve"> la divulgation d’informations confidentielles ou pour garantir l’</w:t>
      </w:r>
      <w:proofErr w:type="spellStart"/>
      <w:r w:rsidRPr="00C31B4B">
        <w:rPr>
          <w:rFonts w:ascii="Garamond" w:hAnsi="Garamond" w:cs="Times New Roman"/>
          <w:bCs/>
          <w:i/>
          <w:iCs/>
          <w:shd w:val="clear" w:color="auto" w:fill="FFFFFF"/>
        </w:rPr>
        <w:t>autorite</w:t>
      </w:r>
      <w:proofErr w:type="spellEnd"/>
      <w:r w:rsidRPr="00C31B4B">
        <w:rPr>
          <w:rFonts w:ascii="Garamond" w:hAnsi="Garamond" w:cs="Times New Roman"/>
          <w:bCs/>
          <w:i/>
          <w:iCs/>
          <w:shd w:val="clear" w:color="auto" w:fill="FFFFFF"/>
        </w:rPr>
        <w:t>́ et l’</w:t>
      </w:r>
      <w:proofErr w:type="spellStart"/>
      <w:r w:rsidRPr="00C31B4B">
        <w:rPr>
          <w:rFonts w:ascii="Garamond" w:hAnsi="Garamond" w:cs="Times New Roman"/>
          <w:bCs/>
          <w:i/>
          <w:iCs/>
          <w:shd w:val="clear" w:color="auto" w:fill="FFFFFF"/>
        </w:rPr>
        <w:t>impartialite</w:t>
      </w:r>
      <w:proofErr w:type="spellEnd"/>
      <w:r w:rsidRPr="00C31B4B">
        <w:rPr>
          <w:rFonts w:ascii="Garamond" w:hAnsi="Garamond" w:cs="Times New Roman"/>
          <w:bCs/>
          <w:i/>
          <w:iCs/>
          <w:shd w:val="clear" w:color="auto" w:fill="FFFFFF"/>
        </w:rPr>
        <w:t>́ du pouvoir judiciaire.</w:t>
      </w:r>
      <w:r w:rsidR="00C31B4B" w:rsidRPr="00C31B4B">
        <w:rPr>
          <w:rFonts w:ascii="Garamond" w:hAnsi="Garamond" w:cs="Times New Roman"/>
          <w:bCs/>
          <w:i/>
          <w:iCs/>
          <w:shd w:val="clear" w:color="auto" w:fill="FFFFFF"/>
        </w:rPr>
        <w:t xml:space="preserve"> » </w:t>
      </w:r>
    </w:p>
    <w:p w14:paraId="57089756" w14:textId="77777777" w:rsidR="00C31B4B" w:rsidRDefault="00C31B4B" w:rsidP="00C31B4B">
      <w:pPr>
        <w:spacing w:line="340" w:lineRule="exact"/>
        <w:ind w:left="1134" w:right="850"/>
        <w:jc w:val="both"/>
        <w:rPr>
          <w:rFonts w:ascii="Garamond" w:hAnsi="Garamond" w:cs="Times New Roman"/>
          <w:bCs/>
          <w:shd w:val="clear" w:color="auto" w:fill="FFFFFF"/>
        </w:rPr>
      </w:pPr>
    </w:p>
    <w:p w14:paraId="1E8106C9" w14:textId="7771293E" w:rsidR="00654CA2" w:rsidRDefault="00C31B4B" w:rsidP="00654CA2">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Pour ne prendre qu’une partie des éléments d’appréciation par la Cour de l’atteinte à l’article 10</w:t>
      </w:r>
      <w:r w:rsidR="00E27CA0">
        <w:rPr>
          <w:rFonts w:ascii="Garamond" w:hAnsi="Garamond" w:cs="Times New Roman"/>
          <w:bCs/>
          <w:shd w:val="clear" w:color="auto" w:fill="FFFFFF"/>
        </w:rPr>
        <w:t xml:space="preserve"> de la Convention</w:t>
      </w:r>
      <w:r>
        <w:rPr>
          <w:rFonts w:ascii="Garamond" w:hAnsi="Garamond" w:cs="Times New Roman"/>
          <w:bCs/>
          <w:shd w:val="clear" w:color="auto" w:fill="FFFFFF"/>
        </w:rPr>
        <w:t>, il faut retenir, de manière classique que :</w:t>
      </w:r>
    </w:p>
    <w:p w14:paraId="0DED5896" w14:textId="77777777" w:rsidR="00C31B4B" w:rsidRDefault="00C31B4B" w:rsidP="00654CA2">
      <w:pPr>
        <w:spacing w:line="340" w:lineRule="exact"/>
        <w:jc w:val="both"/>
        <w:rPr>
          <w:rFonts w:ascii="Garamond" w:hAnsi="Garamond" w:cs="Times New Roman"/>
          <w:bCs/>
          <w:shd w:val="clear" w:color="auto" w:fill="FFFFFF"/>
        </w:rPr>
      </w:pPr>
    </w:p>
    <w:p w14:paraId="49279FD8" w14:textId="77777777" w:rsidR="00C31B4B" w:rsidRPr="00C31B4B" w:rsidRDefault="00C31B4B" w:rsidP="00C31B4B">
      <w:pPr>
        <w:spacing w:line="340" w:lineRule="exact"/>
        <w:ind w:left="1134" w:right="850"/>
        <w:jc w:val="both"/>
        <w:rPr>
          <w:rFonts w:ascii="Garamond" w:hAnsi="Garamond" w:cs="Times New Roman"/>
          <w:bCs/>
          <w:i/>
          <w:iCs/>
          <w:shd w:val="clear" w:color="auto" w:fill="FFFFFF"/>
        </w:rPr>
      </w:pPr>
      <w:r w:rsidRPr="00C31B4B">
        <w:rPr>
          <w:rFonts w:ascii="Garamond" w:hAnsi="Garamond" w:cs="Times New Roman"/>
          <w:bCs/>
          <w:i/>
          <w:iCs/>
          <w:shd w:val="clear" w:color="auto" w:fill="FFFFFF"/>
        </w:rPr>
        <w:t xml:space="preserve">« Les principes généraux permettant d’apprécier la nécessité d’une ingérence donnée dans l’exercice de la liberté d’expression, maintes fois réaffirmés par la Cour depuis l’arrêt </w:t>
      </w:r>
      <w:proofErr w:type="spellStart"/>
      <w:r w:rsidRPr="00C31B4B">
        <w:rPr>
          <w:rFonts w:ascii="Garamond" w:hAnsi="Garamond" w:cs="Times New Roman"/>
          <w:bCs/>
          <w:i/>
          <w:iCs/>
          <w:shd w:val="clear" w:color="auto" w:fill="FFFFFF"/>
        </w:rPr>
        <w:t>Handyside</w:t>
      </w:r>
      <w:proofErr w:type="spellEnd"/>
      <w:r w:rsidRPr="00C31B4B">
        <w:rPr>
          <w:rFonts w:ascii="Garamond" w:hAnsi="Garamond" w:cs="Times New Roman"/>
          <w:bCs/>
          <w:i/>
          <w:iCs/>
          <w:shd w:val="clear" w:color="auto" w:fill="FFFFFF"/>
        </w:rPr>
        <w:t xml:space="preserve"> c. Royaume-Uni (7 décembre 1976, série A no 24), ont été résumés dans l’arrêt Stoll c. Suisse ([GC], no 69698/01, § 101, CEDH 2007-V) et rappelés plus récemment dans l’arrêt Animal Defenders International c. Royaume-Uni ([GC], no 48876/08, § 100, CEDH 2013) :</w:t>
      </w:r>
    </w:p>
    <w:p w14:paraId="0457603A" w14:textId="0FDC1E9D" w:rsidR="00C31B4B" w:rsidRPr="00C31B4B" w:rsidRDefault="00C31B4B" w:rsidP="00C31B4B">
      <w:pPr>
        <w:spacing w:line="340" w:lineRule="exact"/>
        <w:ind w:left="1134" w:right="850"/>
        <w:jc w:val="both"/>
        <w:rPr>
          <w:rFonts w:ascii="Garamond" w:hAnsi="Garamond" w:cs="Times New Roman"/>
          <w:bCs/>
          <w:i/>
          <w:iCs/>
          <w:shd w:val="clear" w:color="auto" w:fill="FFFFFF"/>
        </w:rPr>
      </w:pPr>
      <w:r w:rsidRPr="00C31B4B">
        <w:rPr>
          <w:rFonts w:ascii="Garamond" w:hAnsi="Garamond" w:cs="Times New Roman"/>
          <w:bCs/>
          <w:i/>
          <w:iCs/>
          <w:shd w:val="clear" w:color="auto" w:fill="FFFFFF"/>
        </w:rPr>
        <w:t xml:space="preserve">« </w:t>
      </w:r>
      <w:proofErr w:type="gramStart"/>
      <w:r w:rsidRPr="00C31B4B">
        <w:rPr>
          <w:rFonts w:ascii="Garamond" w:hAnsi="Garamond" w:cs="Times New Roman"/>
          <w:bCs/>
          <w:i/>
          <w:iCs/>
          <w:shd w:val="clear" w:color="auto" w:fill="FFFFFF"/>
        </w:rPr>
        <w:t>i.</w:t>
      </w:r>
      <w:proofErr w:type="gramEnd"/>
      <w:r w:rsidRPr="00C31B4B">
        <w:rPr>
          <w:rFonts w:ascii="Garamond" w:hAnsi="Garamond" w:cs="Times New Roman"/>
          <w:bCs/>
          <w:i/>
          <w:iCs/>
          <w:shd w:val="clear" w:color="auto" w:fill="FFFFFF"/>
        </w:rPr>
        <w:t xml:space="preserve">  La liberté d’expression constitue l’un des fondements essentiels d’une société démocratique, l’une des conditions primordiales de son progrès et de l’épanouissement de chacun. Sous réserve du paragraphe 2 de l’article 10, elle vaut non seulement pour les « informations » ou « idées » accueillies avec faveur ou considérées comme inoffensives ou indifférentes, mais aussi pour celles qui heurtent, choquent ou inquiètent : ainsi le veulent le pluralisme, la tolérance et l’esprit d’ouverture sans lesquels il n’est pas de « société démocratique ». Telle que la consacre l’article 10, elle est assortie d’exceptions qui appellent toutefois une interprétation étroite, et le besoin de la restreindre doit se trouver établi de manière convaincante (...)</w:t>
      </w:r>
    </w:p>
    <w:p w14:paraId="27D7F071" w14:textId="20D46965" w:rsidR="00C31B4B" w:rsidRPr="00C31B4B" w:rsidRDefault="00C31B4B" w:rsidP="00C31B4B">
      <w:pPr>
        <w:spacing w:line="340" w:lineRule="exact"/>
        <w:ind w:left="1134" w:right="850"/>
        <w:jc w:val="both"/>
        <w:rPr>
          <w:rFonts w:ascii="Garamond" w:hAnsi="Garamond" w:cs="Times New Roman"/>
          <w:bCs/>
          <w:i/>
          <w:iCs/>
          <w:shd w:val="clear" w:color="auto" w:fill="FFFFFF"/>
        </w:rPr>
      </w:pPr>
      <w:r w:rsidRPr="00C31B4B">
        <w:rPr>
          <w:rFonts w:ascii="Garamond" w:hAnsi="Garamond" w:cs="Times New Roman"/>
          <w:bCs/>
          <w:i/>
          <w:iCs/>
          <w:shd w:val="clear" w:color="auto" w:fill="FFFFFF"/>
        </w:rPr>
        <w:t>ii.  L’adjectif « nécessaire », au sens de l’article 10 § 2, implique un « besoin social impérieux ». Les États contractants jouissent d’une certaine marge d’appréciation pour juger de l’existence d’un tel besoin, mais elle se double d’un contrôle européen portant à la fois sur la loi et sur les décisions qui l’appliquent, même quand elles émanent d’une juridiction indépendante. La Cour a donc compétence pour statuer en dernier lieu sur le point de savoir si une « restriction » se concilie avec la liberté d’expression que protège l’article 10.</w:t>
      </w:r>
    </w:p>
    <w:p w14:paraId="27661CF1" w14:textId="656C2152" w:rsidR="00C31B4B" w:rsidRPr="00C31B4B" w:rsidRDefault="00C31B4B" w:rsidP="00C31B4B">
      <w:pPr>
        <w:spacing w:line="340" w:lineRule="exact"/>
        <w:ind w:left="1134" w:right="850"/>
        <w:jc w:val="both"/>
        <w:rPr>
          <w:rFonts w:ascii="Garamond" w:hAnsi="Garamond" w:cs="Times New Roman"/>
          <w:bCs/>
          <w:shd w:val="clear" w:color="auto" w:fill="FFFFFF"/>
        </w:rPr>
      </w:pPr>
      <w:r w:rsidRPr="00C31B4B">
        <w:rPr>
          <w:rFonts w:ascii="Garamond" w:hAnsi="Garamond" w:cs="Times New Roman"/>
          <w:bCs/>
          <w:i/>
          <w:iCs/>
          <w:shd w:val="clear" w:color="auto" w:fill="FFFFFF"/>
        </w:rPr>
        <w:t xml:space="preserve">iii.  La Cour n’a point pour tâche, lorsqu’elle exerce son contrôle, de se substituer aux juridictions internes compétentes, mais de vérifier sous l’angle de l’article 10 les décisions </w:t>
      </w:r>
      <w:r w:rsidRPr="00C31B4B">
        <w:rPr>
          <w:rFonts w:ascii="Garamond" w:hAnsi="Garamond" w:cs="Times New Roman"/>
          <w:bCs/>
          <w:i/>
          <w:iCs/>
          <w:shd w:val="clear" w:color="auto" w:fill="FFFFFF"/>
        </w:rPr>
        <w:lastRenderedPageBreak/>
        <w:t>qu’elles ont rendues en vertu de leur pouvoir d’appréciation. Il ne s’ensuit pas qu’elle doive se borner à rechercher si l’État défendeur a usé de ce pouvoir de bonne foi, avec soin et de façon raisonnable : il lui faut considérer l’ingérence litigieuse à la lumière de l’ensemble de l’affaire pour déterminer si elle était « proportionnée au but légitime poursuivi » et si les motifs invoqués par les autorités nationales pour la justifier apparaissent « pertinents et suffisants » (...) Ce faisant, la Cour doit se convaincre que les autorités nationales ont appliqué des règles conformes aux principes consacrés à l’article 10 et ce, de surcroît, en se fondant sur une appréciation acceptable des faits pertinents (...) »</w:t>
      </w:r>
      <w:r>
        <w:rPr>
          <w:rStyle w:val="Appelnotedebasdep"/>
          <w:rFonts w:ascii="Garamond" w:hAnsi="Garamond" w:cs="Times New Roman"/>
          <w:bCs/>
          <w:i/>
          <w:iCs/>
          <w:shd w:val="clear" w:color="auto" w:fill="FFFFFF"/>
        </w:rPr>
        <w:footnoteReference w:id="15"/>
      </w:r>
    </w:p>
    <w:p w14:paraId="550FDC78" w14:textId="3D455D46" w:rsidR="00696E54" w:rsidRDefault="00696E54" w:rsidP="00C82582">
      <w:pPr>
        <w:spacing w:line="340" w:lineRule="exact"/>
        <w:ind w:right="850"/>
        <w:jc w:val="both"/>
        <w:rPr>
          <w:rFonts w:ascii="Garamond" w:hAnsi="Garamond" w:cs="Times New Roman"/>
          <w:bCs/>
          <w:shd w:val="clear" w:color="auto" w:fill="FFFFFF"/>
        </w:rPr>
      </w:pPr>
    </w:p>
    <w:p w14:paraId="5C9E8EFC" w14:textId="04137A6A" w:rsidR="00177352" w:rsidRDefault="00C82582"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 xml:space="preserve">Les développements jurisprudentiels de la Cour viennent expliciter le </w:t>
      </w:r>
      <w:r w:rsidR="00AD3D60">
        <w:rPr>
          <w:rFonts w:ascii="Garamond" w:hAnsi="Garamond" w:cs="Times New Roman"/>
          <w:bCs/>
          <w:shd w:val="clear" w:color="auto" w:fill="FFFFFF"/>
        </w:rPr>
        <w:t>§</w:t>
      </w:r>
      <w:r>
        <w:rPr>
          <w:rFonts w:ascii="Garamond" w:hAnsi="Garamond" w:cs="Times New Roman"/>
          <w:bCs/>
          <w:shd w:val="clear" w:color="auto" w:fill="FFFFFF"/>
        </w:rPr>
        <w:t xml:space="preserve"> 2 de l’article 10 sur les atteintes admissibles à la liberté d’expression</w:t>
      </w:r>
      <w:r w:rsidR="00E27CA0">
        <w:rPr>
          <w:rFonts w:ascii="Garamond" w:hAnsi="Garamond" w:cs="Times New Roman"/>
          <w:bCs/>
          <w:shd w:val="clear" w:color="auto" w:fill="FFFFFF"/>
        </w:rPr>
        <w:t>. Il s’agit, selon la qualification retenue</w:t>
      </w:r>
      <w:r w:rsidR="00C35950">
        <w:rPr>
          <w:rFonts w:ascii="Garamond" w:hAnsi="Garamond" w:cs="Times New Roman"/>
          <w:bCs/>
          <w:shd w:val="clear" w:color="auto" w:fill="FFFFFF"/>
        </w:rPr>
        <w:t>,</w:t>
      </w:r>
      <w:r w:rsidR="00E27CA0">
        <w:rPr>
          <w:rFonts w:ascii="Garamond" w:hAnsi="Garamond" w:cs="Times New Roman"/>
          <w:bCs/>
          <w:shd w:val="clear" w:color="auto" w:fill="FFFFFF"/>
        </w:rPr>
        <w:t xml:space="preserve"> d’une concrétisation jurisprudentielle d’un énoncé textuel</w:t>
      </w:r>
      <w:r>
        <w:rPr>
          <w:rFonts w:ascii="Garamond" w:hAnsi="Garamond" w:cs="Times New Roman"/>
          <w:bCs/>
          <w:shd w:val="clear" w:color="auto" w:fill="FFFFFF"/>
        </w:rPr>
        <w:t xml:space="preserve">. La norme posée par </w:t>
      </w:r>
      <w:r w:rsidR="00287107">
        <w:rPr>
          <w:rFonts w:ascii="Garamond" w:hAnsi="Garamond" w:cs="Times New Roman"/>
          <w:bCs/>
          <w:shd w:val="clear" w:color="auto" w:fill="FFFFFF"/>
        </w:rPr>
        <w:t>l’article 10 § 2</w:t>
      </w:r>
      <w:r w:rsidR="00C35950">
        <w:rPr>
          <w:rFonts w:ascii="Garamond" w:hAnsi="Garamond" w:cs="Times New Roman"/>
          <w:bCs/>
          <w:shd w:val="clear" w:color="auto" w:fill="FFFFFF"/>
        </w:rPr>
        <w:t xml:space="preserve"> </w:t>
      </w:r>
      <w:r>
        <w:rPr>
          <w:rFonts w:ascii="Garamond" w:hAnsi="Garamond" w:cs="Times New Roman"/>
          <w:bCs/>
          <w:shd w:val="clear" w:color="auto" w:fill="FFFFFF"/>
        </w:rPr>
        <w:t xml:space="preserve">impose qu’une restriction à cette liberté soit posée par la loi et qu’elle soit nécessaire, dans une société démocratique à la préservation de certains intérêt légitimes. </w:t>
      </w:r>
      <w:r w:rsidR="00177352">
        <w:rPr>
          <w:rFonts w:ascii="Garamond" w:hAnsi="Garamond" w:cs="Times New Roman"/>
          <w:bCs/>
          <w:shd w:val="clear" w:color="auto" w:fill="FFFFFF"/>
        </w:rPr>
        <w:t xml:space="preserve">Face à cette norme, la Cour apporte plusieurs éléments </w:t>
      </w:r>
      <w:r w:rsidR="00D15E56">
        <w:rPr>
          <w:rFonts w:ascii="Garamond" w:hAnsi="Garamond" w:cs="Times New Roman"/>
          <w:bCs/>
          <w:shd w:val="clear" w:color="auto" w:fill="FFFFFF"/>
        </w:rPr>
        <w:t>jurisprudentiel</w:t>
      </w:r>
      <w:r w:rsidR="00177352">
        <w:rPr>
          <w:rFonts w:ascii="Garamond" w:hAnsi="Garamond" w:cs="Times New Roman"/>
          <w:bCs/>
          <w:shd w:val="clear" w:color="auto" w:fill="FFFFFF"/>
        </w:rPr>
        <w:t>s à l’appui de l’appréciation</w:t>
      </w:r>
      <w:r w:rsidR="00CB4E51">
        <w:rPr>
          <w:rFonts w:ascii="Garamond" w:hAnsi="Garamond" w:cs="Times New Roman"/>
          <w:bCs/>
          <w:shd w:val="clear" w:color="auto" w:fill="FFFFFF"/>
        </w:rPr>
        <w:t xml:space="preserve"> du respect de la norme posée par </w:t>
      </w:r>
      <w:r w:rsidR="00287107">
        <w:rPr>
          <w:rFonts w:ascii="Garamond" w:hAnsi="Garamond" w:cs="Times New Roman"/>
          <w:bCs/>
          <w:shd w:val="clear" w:color="auto" w:fill="FFFFFF"/>
        </w:rPr>
        <w:t>cette stipulation</w:t>
      </w:r>
      <w:r w:rsidR="00CB4E51">
        <w:rPr>
          <w:rFonts w:ascii="Garamond" w:hAnsi="Garamond" w:cs="Times New Roman"/>
          <w:bCs/>
          <w:shd w:val="clear" w:color="auto" w:fill="FFFFFF"/>
        </w:rPr>
        <w:t xml:space="preserve"> : interprétation stricte des exceptions à la liberté d’expression, la nécessité de l’atteinte à la liberté doit être établie de manière convaincante, les justifications à la restriction à la liberté posées par l’article 10 § 2 doivent renvoyer, en raison de la nécessité de la restriction, à un besoin social impérieux, la restriction à la liberté doit être posée </w:t>
      </w:r>
      <w:r w:rsidR="00E744A6">
        <w:rPr>
          <w:rFonts w:ascii="Garamond" w:hAnsi="Garamond" w:cs="Times New Roman"/>
          <w:bCs/>
          <w:shd w:val="clear" w:color="auto" w:fill="FFFFFF"/>
        </w:rPr>
        <w:t>de bonne foi, avec soin et de façon raisonnable, elle doit être proportionnée au but légitime poursuivi et reposer sur des motifs pertinents et suffisants.</w:t>
      </w:r>
    </w:p>
    <w:p w14:paraId="3CD82704" w14:textId="77777777" w:rsidR="00E744A6" w:rsidRDefault="00E744A6" w:rsidP="00717513">
      <w:pPr>
        <w:spacing w:line="340" w:lineRule="exact"/>
        <w:jc w:val="both"/>
        <w:rPr>
          <w:rFonts w:ascii="Garamond" w:hAnsi="Garamond" w:cs="Times New Roman"/>
          <w:bCs/>
          <w:shd w:val="clear" w:color="auto" w:fill="FFFFFF"/>
        </w:rPr>
      </w:pPr>
    </w:p>
    <w:p w14:paraId="0A0ACCEC" w14:textId="77777777" w:rsidR="00287107" w:rsidRDefault="00C82582"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 xml:space="preserve">La concrétisation </w:t>
      </w:r>
      <w:r w:rsidR="00E27CA0">
        <w:rPr>
          <w:rFonts w:ascii="Garamond" w:hAnsi="Garamond" w:cs="Times New Roman"/>
          <w:bCs/>
          <w:shd w:val="clear" w:color="auto" w:fill="FFFFFF"/>
        </w:rPr>
        <w:t xml:space="preserve">jurisprudentielle </w:t>
      </w:r>
      <w:r>
        <w:rPr>
          <w:rFonts w:ascii="Garamond" w:hAnsi="Garamond" w:cs="Times New Roman"/>
          <w:bCs/>
          <w:shd w:val="clear" w:color="auto" w:fill="FFFFFF"/>
        </w:rPr>
        <w:t xml:space="preserve">de la Cour est </w:t>
      </w:r>
      <w:r w:rsidRPr="00DA6DF5">
        <w:rPr>
          <w:rFonts w:ascii="Garamond" w:hAnsi="Garamond" w:cs="Times New Roman"/>
          <w:bCs/>
          <w:i/>
          <w:iCs/>
          <w:shd w:val="clear" w:color="auto" w:fill="FFFFFF"/>
        </w:rPr>
        <w:t>normative</w:t>
      </w:r>
      <w:r>
        <w:rPr>
          <w:rFonts w:ascii="Garamond" w:hAnsi="Garamond" w:cs="Times New Roman"/>
          <w:bCs/>
          <w:shd w:val="clear" w:color="auto" w:fill="FFFFFF"/>
        </w:rPr>
        <w:t xml:space="preserve">, </w:t>
      </w:r>
      <w:r w:rsidR="00025489">
        <w:rPr>
          <w:rFonts w:ascii="Garamond" w:hAnsi="Garamond" w:cs="Times New Roman"/>
          <w:bCs/>
          <w:shd w:val="clear" w:color="auto" w:fill="FFFFFF"/>
        </w:rPr>
        <w:t xml:space="preserve">elle pose les normes d’appréciation de la régularité d’une restriction à la liberté d’expression, </w:t>
      </w:r>
      <w:r>
        <w:rPr>
          <w:rFonts w:ascii="Garamond" w:hAnsi="Garamond" w:cs="Times New Roman"/>
          <w:bCs/>
          <w:shd w:val="clear" w:color="auto" w:fill="FFFFFF"/>
        </w:rPr>
        <w:t xml:space="preserve">elle est </w:t>
      </w:r>
      <w:r w:rsidRPr="00DA6DF5">
        <w:rPr>
          <w:rFonts w:ascii="Garamond" w:hAnsi="Garamond" w:cs="Times New Roman"/>
          <w:bCs/>
          <w:i/>
          <w:iCs/>
          <w:shd w:val="clear" w:color="auto" w:fill="FFFFFF"/>
        </w:rPr>
        <w:t>générale</w:t>
      </w:r>
      <w:r w:rsidR="00025489">
        <w:rPr>
          <w:rFonts w:ascii="Garamond" w:hAnsi="Garamond" w:cs="Times New Roman"/>
          <w:bCs/>
          <w:shd w:val="clear" w:color="auto" w:fill="FFFFFF"/>
        </w:rPr>
        <w:t>, puisqu’elle dépasse le seul examen du cas,</w:t>
      </w:r>
      <w:r w:rsidR="00E744A6">
        <w:rPr>
          <w:rFonts w:ascii="Garamond" w:hAnsi="Garamond" w:cs="Times New Roman"/>
          <w:bCs/>
          <w:shd w:val="clear" w:color="auto" w:fill="FFFFFF"/>
        </w:rPr>
        <w:t xml:space="preserve"> et</w:t>
      </w:r>
      <w:r>
        <w:rPr>
          <w:rFonts w:ascii="Garamond" w:hAnsi="Garamond" w:cs="Times New Roman"/>
          <w:bCs/>
          <w:shd w:val="clear" w:color="auto" w:fill="FFFFFF"/>
        </w:rPr>
        <w:t xml:space="preserve"> </w:t>
      </w:r>
      <w:r w:rsidR="00E27CA0">
        <w:rPr>
          <w:rFonts w:ascii="Garamond" w:hAnsi="Garamond" w:cs="Times New Roman"/>
          <w:bCs/>
          <w:shd w:val="clear" w:color="auto" w:fill="FFFFFF"/>
        </w:rPr>
        <w:t xml:space="preserve">elle </w:t>
      </w:r>
      <w:r w:rsidRPr="00DA6DF5">
        <w:rPr>
          <w:rFonts w:ascii="Garamond" w:hAnsi="Garamond" w:cs="Times New Roman"/>
          <w:bCs/>
          <w:i/>
          <w:iCs/>
          <w:shd w:val="clear" w:color="auto" w:fill="FFFFFF"/>
        </w:rPr>
        <w:t>explicite les modalités d’appréciation</w:t>
      </w:r>
      <w:r w:rsidR="00E744A6">
        <w:rPr>
          <w:rFonts w:ascii="Garamond" w:hAnsi="Garamond" w:cs="Times New Roman"/>
          <w:bCs/>
          <w:shd w:val="clear" w:color="auto" w:fill="FFFFFF"/>
        </w:rPr>
        <w:t xml:space="preserve"> de la restriction </w:t>
      </w:r>
      <w:r w:rsidR="00025489">
        <w:rPr>
          <w:rFonts w:ascii="Garamond" w:hAnsi="Garamond" w:cs="Times New Roman"/>
          <w:bCs/>
          <w:shd w:val="clear" w:color="auto" w:fill="FFFFFF"/>
        </w:rPr>
        <w:t>posée par l’article 10</w:t>
      </w:r>
      <w:r w:rsidR="00C35950">
        <w:rPr>
          <w:rFonts w:ascii="Garamond" w:hAnsi="Garamond" w:cs="Times New Roman"/>
          <w:bCs/>
          <w:shd w:val="clear" w:color="auto" w:fill="FFFFFF"/>
        </w:rPr>
        <w:t> </w:t>
      </w:r>
      <w:r w:rsidR="00025489">
        <w:rPr>
          <w:rFonts w:ascii="Garamond" w:hAnsi="Garamond" w:cs="Times New Roman"/>
          <w:bCs/>
          <w:shd w:val="clear" w:color="auto" w:fill="FFFFFF"/>
        </w:rPr>
        <w:t>§</w:t>
      </w:r>
      <w:r w:rsidR="00C35950">
        <w:rPr>
          <w:rFonts w:ascii="Garamond" w:hAnsi="Garamond" w:cs="Times New Roman"/>
          <w:bCs/>
          <w:shd w:val="clear" w:color="auto" w:fill="FFFFFF"/>
        </w:rPr>
        <w:t> </w:t>
      </w:r>
      <w:r w:rsidR="00025489">
        <w:rPr>
          <w:rFonts w:ascii="Garamond" w:hAnsi="Garamond" w:cs="Times New Roman"/>
          <w:bCs/>
          <w:shd w:val="clear" w:color="auto" w:fill="FFFFFF"/>
        </w:rPr>
        <w:t>2</w:t>
      </w:r>
      <w:r w:rsidR="00C35950">
        <w:rPr>
          <w:rFonts w:ascii="Garamond" w:hAnsi="Garamond" w:cs="Times New Roman"/>
          <w:bCs/>
          <w:shd w:val="clear" w:color="auto" w:fill="FFFFFF"/>
        </w:rPr>
        <w:t xml:space="preserve"> de manière pour le moins constructive</w:t>
      </w:r>
      <w:r>
        <w:rPr>
          <w:rFonts w:ascii="Garamond" w:hAnsi="Garamond" w:cs="Times New Roman"/>
          <w:bCs/>
          <w:shd w:val="clear" w:color="auto" w:fill="FFFFFF"/>
        </w:rPr>
        <w:t>.</w:t>
      </w:r>
      <w:r w:rsidR="00025489">
        <w:rPr>
          <w:rFonts w:ascii="Garamond" w:hAnsi="Garamond" w:cs="Times New Roman"/>
          <w:bCs/>
          <w:shd w:val="clear" w:color="auto" w:fill="FFFFFF"/>
        </w:rPr>
        <w:t xml:space="preserve"> </w:t>
      </w:r>
      <w:r w:rsidR="003F7281">
        <w:rPr>
          <w:rFonts w:ascii="Garamond" w:hAnsi="Garamond" w:cs="Times New Roman"/>
          <w:bCs/>
          <w:shd w:val="clear" w:color="auto" w:fill="FFFFFF"/>
        </w:rPr>
        <w:t xml:space="preserve">Reste </w:t>
      </w:r>
      <w:r w:rsidR="00B64698">
        <w:rPr>
          <w:rFonts w:ascii="Garamond" w:hAnsi="Garamond" w:cs="Times New Roman"/>
          <w:bCs/>
          <w:shd w:val="clear" w:color="auto" w:fill="FFFFFF"/>
        </w:rPr>
        <w:t xml:space="preserve">toutefois à apprécier si la concrétisation est </w:t>
      </w:r>
      <w:r w:rsidR="00B64698" w:rsidRPr="00287107">
        <w:rPr>
          <w:rFonts w:ascii="Garamond" w:hAnsi="Garamond" w:cs="Times New Roman"/>
          <w:bCs/>
          <w:i/>
          <w:iCs/>
          <w:shd w:val="clear" w:color="auto" w:fill="FFFFFF"/>
        </w:rPr>
        <w:t>régulière</w:t>
      </w:r>
      <w:r w:rsidR="00B64698">
        <w:rPr>
          <w:rFonts w:ascii="Garamond" w:hAnsi="Garamond" w:cs="Times New Roman"/>
          <w:bCs/>
          <w:shd w:val="clear" w:color="auto" w:fill="FFFFFF"/>
        </w:rPr>
        <w:t xml:space="preserve"> ou</w:t>
      </w:r>
      <w:r w:rsidR="00C35950">
        <w:rPr>
          <w:rFonts w:ascii="Garamond" w:hAnsi="Garamond" w:cs="Times New Roman"/>
          <w:bCs/>
          <w:shd w:val="clear" w:color="auto" w:fill="FFFFFF"/>
        </w:rPr>
        <w:t>,</w:t>
      </w:r>
      <w:r w:rsidR="00B64698">
        <w:rPr>
          <w:rFonts w:ascii="Garamond" w:hAnsi="Garamond" w:cs="Times New Roman"/>
          <w:bCs/>
          <w:shd w:val="clear" w:color="auto" w:fill="FFFFFF"/>
        </w:rPr>
        <w:t xml:space="preserve"> pour le dire autrement</w:t>
      </w:r>
      <w:r w:rsidR="00C35950">
        <w:rPr>
          <w:rFonts w:ascii="Garamond" w:hAnsi="Garamond" w:cs="Times New Roman"/>
          <w:bCs/>
          <w:shd w:val="clear" w:color="auto" w:fill="FFFFFF"/>
        </w:rPr>
        <w:t>,</w:t>
      </w:r>
      <w:r w:rsidR="00B64698">
        <w:rPr>
          <w:rFonts w:ascii="Garamond" w:hAnsi="Garamond" w:cs="Times New Roman"/>
          <w:bCs/>
          <w:shd w:val="clear" w:color="auto" w:fill="FFFFFF"/>
        </w:rPr>
        <w:t xml:space="preserve"> si cette concrétisation est couverte par la norme qu’elle entend concrétiser. </w:t>
      </w:r>
    </w:p>
    <w:p w14:paraId="2FFE8192" w14:textId="77777777" w:rsidR="00287107" w:rsidRDefault="00287107" w:rsidP="00717513">
      <w:pPr>
        <w:spacing w:line="340" w:lineRule="exact"/>
        <w:jc w:val="both"/>
        <w:rPr>
          <w:rFonts w:ascii="Garamond" w:hAnsi="Garamond" w:cs="Times New Roman"/>
          <w:bCs/>
          <w:shd w:val="clear" w:color="auto" w:fill="FFFFFF"/>
        </w:rPr>
      </w:pPr>
    </w:p>
    <w:p w14:paraId="291808D1" w14:textId="5B64402A" w:rsidR="00C82582" w:rsidRDefault="00B64698"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Ce que l’on peut dire de manière indiscutable, c’est que la Cour ajoute des éléments d’appréciation à ceux qui sont prévus par l’article 10 § 2, ce qui aboutit</w:t>
      </w:r>
      <w:r w:rsidR="00C35950">
        <w:rPr>
          <w:rFonts w:ascii="Garamond" w:hAnsi="Garamond" w:cs="Times New Roman"/>
          <w:bCs/>
          <w:shd w:val="clear" w:color="auto" w:fill="FFFFFF"/>
        </w:rPr>
        <w:t>,</w:t>
      </w:r>
      <w:r>
        <w:rPr>
          <w:rFonts w:ascii="Garamond" w:hAnsi="Garamond" w:cs="Times New Roman"/>
          <w:bCs/>
          <w:shd w:val="clear" w:color="auto" w:fill="FFFFFF"/>
        </w:rPr>
        <w:t xml:space="preserve"> en l’occurrence</w:t>
      </w:r>
      <w:r w:rsidR="00C35950">
        <w:rPr>
          <w:rFonts w:ascii="Garamond" w:hAnsi="Garamond" w:cs="Times New Roman"/>
          <w:bCs/>
          <w:shd w:val="clear" w:color="auto" w:fill="FFFFFF"/>
        </w:rPr>
        <w:t>,</w:t>
      </w:r>
      <w:r>
        <w:rPr>
          <w:rFonts w:ascii="Garamond" w:hAnsi="Garamond" w:cs="Times New Roman"/>
          <w:bCs/>
          <w:shd w:val="clear" w:color="auto" w:fill="FFFFFF"/>
        </w:rPr>
        <w:t xml:space="preserve"> </w:t>
      </w:r>
      <w:r w:rsidR="00C35950">
        <w:rPr>
          <w:rFonts w:ascii="Garamond" w:hAnsi="Garamond" w:cs="Times New Roman"/>
          <w:bCs/>
          <w:shd w:val="clear" w:color="auto" w:fill="FFFFFF"/>
        </w:rPr>
        <w:t>à</w:t>
      </w:r>
      <w:r w:rsidR="001D3AEA">
        <w:rPr>
          <w:rFonts w:ascii="Garamond" w:hAnsi="Garamond" w:cs="Times New Roman"/>
          <w:bCs/>
          <w:shd w:val="clear" w:color="auto" w:fill="FFFFFF"/>
        </w:rPr>
        <w:t xml:space="preserve"> restreindre de manière considérable la possibilité pour les </w:t>
      </w:r>
      <w:r w:rsidR="00EC6366">
        <w:rPr>
          <w:rFonts w:ascii="Garamond" w:hAnsi="Garamond" w:cs="Times New Roman"/>
          <w:bCs/>
          <w:shd w:val="clear" w:color="auto" w:fill="FFFFFF"/>
        </w:rPr>
        <w:t>États</w:t>
      </w:r>
      <w:r w:rsidR="001D3AEA">
        <w:rPr>
          <w:rFonts w:ascii="Garamond" w:hAnsi="Garamond" w:cs="Times New Roman"/>
          <w:bCs/>
          <w:shd w:val="clear" w:color="auto" w:fill="FFFFFF"/>
        </w:rPr>
        <w:t xml:space="preserve"> d’apporter </w:t>
      </w:r>
      <w:r w:rsidR="00D15E56">
        <w:rPr>
          <w:rFonts w:ascii="Garamond" w:hAnsi="Garamond" w:cs="Times New Roman"/>
          <w:bCs/>
          <w:shd w:val="clear" w:color="auto" w:fill="FFFFFF"/>
        </w:rPr>
        <w:t>valablement</w:t>
      </w:r>
      <w:r w:rsidR="001D3AEA">
        <w:rPr>
          <w:rFonts w:ascii="Garamond" w:hAnsi="Garamond" w:cs="Times New Roman"/>
          <w:bCs/>
          <w:shd w:val="clear" w:color="auto" w:fill="FFFFFF"/>
        </w:rPr>
        <w:t xml:space="preserve"> une restriction à la liberté d’expression. D’une certaine manière, </w:t>
      </w:r>
      <w:r w:rsidR="00EC6366">
        <w:rPr>
          <w:rFonts w:ascii="Garamond" w:hAnsi="Garamond" w:cs="Times New Roman"/>
          <w:bCs/>
          <w:shd w:val="clear" w:color="auto" w:fill="FFFFFF"/>
        </w:rPr>
        <w:t xml:space="preserve">la concrétisation de la Convention est couverte par la Convention, de sorte que si les restrictions à la liberté d’expression sont jugées régulières par la Cour, elles sont conformes à l’article 10 § 2 de la Convention. Toutefois, il est possible de constater, en raison de l’interprétation restrictive </w:t>
      </w:r>
      <w:r w:rsidR="00F62D74">
        <w:rPr>
          <w:rFonts w:ascii="Garamond" w:hAnsi="Garamond" w:cs="Times New Roman"/>
          <w:bCs/>
          <w:shd w:val="clear" w:color="auto" w:fill="FFFFFF"/>
        </w:rPr>
        <w:t xml:space="preserve">de la Cour, que certaines restrictions pourraient être régulières au regard des seules exigences de l’article 10 § 2, mais </w:t>
      </w:r>
      <w:r w:rsidR="00C35950">
        <w:rPr>
          <w:rFonts w:ascii="Garamond" w:hAnsi="Garamond" w:cs="Times New Roman"/>
          <w:bCs/>
          <w:shd w:val="clear" w:color="auto" w:fill="FFFFFF"/>
        </w:rPr>
        <w:t>ces mêmes restrictions</w:t>
      </w:r>
      <w:r w:rsidR="00F62D74">
        <w:rPr>
          <w:rFonts w:ascii="Garamond" w:hAnsi="Garamond" w:cs="Times New Roman"/>
          <w:bCs/>
          <w:shd w:val="clear" w:color="auto" w:fill="FFFFFF"/>
        </w:rPr>
        <w:t xml:space="preserve"> ne le seraient pas au regard de la jurisprudence de la Cour. Un </w:t>
      </w:r>
      <w:r w:rsidR="00F62D74" w:rsidRPr="00D15E56">
        <w:rPr>
          <w:rFonts w:ascii="Garamond" w:hAnsi="Garamond" w:cs="Times New Roman"/>
          <w:bCs/>
          <w:i/>
          <w:iCs/>
          <w:shd w:val="clear" w:color="auto" w:fill="FFFFFF"/>
        </w:rPr>
        <w:t>motif valable</w:t>
      </w:r>
      <w:r w:rsidR="00D15E56" w:rsidRPr="00D15E56">
        <w:rPr>
          <w:rFonts w:ascii="Garamond" w:hAnsi="Garamond" w:cs="Times New Roman"/>
          <w:bCs/>
          <w:shd w:val="clear" w:color="auto" w:fill="FFFFFF"/>
        </w:rPr>
        <w:t xml:space="preserve"> </w:t>
      </w:r>
      <w:r w:rsidR="00D15E56">
        <w:rPr>
          <w:rFonts w:ascii="Garamond" w:hAnsi="Garamond" w:cs="Times New Roman"/>
          <w:bCs/>
          <w:shd w:val="clear" w:color="auto" w:fill="FFFFFF"/>
        </w:rPr>
        <w:t>de restriction à la liberté,</w:t>
      </w:r>
      <w:r w:rsidR="00F62D74">
        <w:rPr>
          <w:rFonts w:ascii="Garamond" w:hAnsi="Garamond" w:cs="Times New Roman"/>
          <w:bCs/>
          <w:shd w:val="clear" w:color="auto" w:fill="FFFFFF"/>
        </w:rPr>
        <w:t xml:space="preserve"> </w:t>
      </w:r>
      <w:r w:rsidR="00D15E56">
        <w:rPr>
          <w:rFonts w:ascii="Garamond" w:hAnsi="Garamond" w:cs="Times New Roman"/>
          <w:bCs/>
          <w:shd w:val="clear" w:color="auto" w:fill="FFFFFF"/>
        </w:rPr>
        <w:t>selon les termes de</w:t>
      </w:r>
      <w:r w:rsidR="00F62D74">
        <w:rPr>
          <w:rFonts w:ascii="Garamond" w:hAnsi="Garamond" w:cs="Times New Roman"/>
          <w:bCs/>
          <w:shd w:val="clear" w:color="auto" w:fill="FFFFFF"/>
        </w:rPr>
        <w:t xml:space="preserve"> l’article 10 § 2</w:t>
      </w:r>
      <w:r w:rsidR="00D15E56">
        <w:rPr>
          <w:rFonts w:ascii="Garamond" w:hAnsi="Garamond" w:cs="Times New Roman"/>
          <w:bCs/>
          <w:shd w:val="clear" w:color="auto" w:fill="FFFFFF"/>
        </w:rPr>
        <w:t>,</w:t>
      </w:r>
      <w:r w:rsidR="00F62D74">
        <w:rPr>
          <w:rFonts w:ascii="Garamond" w:hAnsi="Garamond" w:cs="Times New Roman"/>
          <w:bCs/>
          <w:shd w:val="clear" w:color="auto" w:fill="FFFFFF"/>
        </w:rPr>
        <w:t xml:space="preserve"> qui pourrait être couvert</w:t>
      </w:r>
      <w:r w:rsidR="00D15E56">
        <w:rPr>
          <w:rFonts w:ascii="Garamond" w:hAnsi="Garamond" w:cs="Times New Roman"/>
          <w:bCs/>
          <w:shd w:val="clear" w:color="auto" w:fill="FFFFFF"/>
        </w:rPr>
        <w:t xml:space="preserve"> par cette stipulation, </w:t>
      </w:r>
      <w:proofErr w:type="gramStart"/>
      <w:r w:rsidR="00D15E56">
        <w:rPr>
          <w:rFonts w:ascii="Garamond" w:hAnsi="Garamond" w:cs="Times New Roman"/>
          <w:bCs/>
          <w:shd w:val="clear" w:color="auto" w:fill="FFFFFF"/>
        </w:rPr>
        <w:t>comme</w:t>
      </w:r>
      <w:r w:rsidR="00F62D74">
        <w:rPr>
          <w:rFonts w:ascii="Garamond" w:hAnsi="Garamond" w:cs="Times New Roman"/>
          <w:bCs/>
          <w:shd w:val="clear" w:color="auto" w:fill="FFFFFF"/>
        </w:rPr>
        <w:t>, par exemple,</w:t>
      </w:r>
      <w:proofErr w:type="gramEnd"/>
      <w:r w:rsidR="00F62D74">
        <w:rPr>
          <w:rFonts w:ascii="Garamond" w:hAnsi="Garamond" w:cs="Times New Roman"/>
          <w:bCs/>
          <w:shd w:val="clear" w:color="auto" w:fill="FFFFFF"/>
        </w:rPr>
        <w:t xml:space="preserve"> </w:t>
      </w:r>
      <w:r w:rsidR="00F62D74" w:rsidRPr="00F62D74">
        <w:rPr>
          <w:rFonts w:ascii="Garamond" w:hAnsi="Garamond" w:cs="Times New Roman"/>
          <w:bCs/>
          <w:shd w:val="clear" w:color="auto" w:fill="FFFFFF"/>
        </w:rPr>
        <w:t xml:space="preserve">la </w:t>
      </w:r>
      <w:r w:rsidR="00F62D74" w:rsidRPr="00F62D74">
        <w:rPr>
          <w:rFonts w:ascii="Garamond" w:hAnsi="Garamond" w:cs="Times New Roman"/>
          <w:bCs/>
          <w:shd w:val="clear" w:color="auto" w:fill="FFFFFF"/>
        </w:rPr>
        <w:lastRenderedPageBreak/>
        <w:t xml:space="preserve">protection de la </w:t>
      </w:r>
      <w:r w:rsidR="00D15E56" w:rsidRPr="00F62D74">
        <w:rPr>
          <w:rFonts w:ascii="Garamond" w:hAnsi="Garamond" w:cs="Times New Roman"/>
          <w:bCs/>
          <w:shd w:val="clear" w:color="auto" w:fill="FFFFFF"/>
        </w:rPr>
        <w:t>réputation</w:t>
      </w:r>
      <w:r w:rsidR="00F62D74">
        <w:rPr>
          <w:rFonts w:ascii="Garamond" w:hAnsi="Garamond" w:cs="Times New Roman"/>
          <w:bCs/>
          <w:shd w:val="clear" w:color="auto" w:fill="FFFFFF"/>
        </w:rPr>
        <w:t xml:space="preserve">, pourrait toutefois ne pas constituer un </w:t>
      </w:r>
      <w:r w:rsidR="00F62D74" w:rsidRPr="00D15E56">
        <w:rPr>
          <w:rFonts w:ascii="Garamond" w:hAnsi="Garamond" w:cs="Times New Roman"/>
          <w:bCs/>
          <w:i/>
          <w:iCs/>
          <w:shd w:val="clear" w:color="auto" w:fill="FFFFFF"/>
        </w:rPr>
        <w:t>besoin social impérieux</w:t>
      </w:r>
      <w:r w:rsidR="006F792C">
        <w:rPr>
          <w:rFonts w:ascii="Garamond" w:hAnsi="Garamond" w:cs="Times New Roman"/>
          <w:bCs/>
          <w:shd w:val="clear" w:color="auto" w:fill="FFFFFF"/>
        </w:rPr>
        <w:t xml:space="preserve"> aux yeux de la Cour. Autrement dit, un comportement d’un </w:t>
      </w:r>
      <w:r w:rsidR="00C35950">
        <w:rPr>
          <w:rFonts w:ascii="Garamond" w:hAnsi="Garamond" w:cs="Times New Roman"/>
          <w:bCs/>
          <w:shd w:val="clear" w:color="auto" w:fill="FFFFFF"/>
        </w:rPr>
        <w:t>État</w:t>
      </w:r>
      <w:r w:rsidR="006F792C">
        <w:rPr>
          <w:rFonts w:ascii="Garamond" w:hAnsi="Garamond" w:cs="Times New Roman"/>
          <w:bCs/>
          <w:shd w:val="clear" w:color="auto" w:fill="FFFFFF"/>
        </w:rPr>
        <w:t xml:space="preserve"> permis par l’article 10 § 2 pourrait être jugé irrégulier par la Cour. La concrétisation de la Cour est donc irrégulière</w:t>
      </w:r>
      <w:r w:rsidR="00A23606">
        <w:rPr>
          <w:rFonts w:ascii="Garamond" w:hAnsi="Garamond" w:cs="Times New Roman"/>
          <w:bCs/>
          <w:shd w:val="clear" w:color="auto" w:fill="FFFFFF"/>
        </w:rPr>
        <w:t xml:space="preserve">. Le cadre normatif posé par la Cour de l’appréciation de la régularité des restrictions à la liberté d’expression est irrégulier. </w:t>
      </w:r>
    </w:p>
    <w:p w14:paraId="7D9CB510" w14:textId="7FDB3446" w:rsidR="00A23606" w:rsidRDefault="00A23606" w:rsidP="00717513">
      <w:pPr>
        <w:spacing w:line="340" w:lineRule="exact"/>
        <w:jc w:val="both"/>
        <w:rPr>
          <w:rFonts w:ascii="Garamond" w:hAnsi="Garamond" w:cs="Times New Roman"/>
          <w:bCs/>
          <w:shd w:val="clear" w:color="auto" w:fill="FFFFFF"/>
        </w:rPr>
      </w:pPr>
    </w:p>
    <w:p w14:paraId="078A32C0" w14:textId="1ECC6399" w:rsidR="00C35950" w:rsidRDefault="00A23606"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Au-delà de la question de l’irrégularité de la concrétisation</w:t>
      </w:r>
      <w:r w:rsidR="00CB3DD4">
        <w:rPr>
          <w:rFonts w:ascii="Garamond" w:hAnsi="Garamond" w:cs="Times New Roman"/>
          <w:bCs/>
          <w:shd w:val="clear" w:color="auto" w:fill="FFFFFF"/>
        </w:rPr>
        <w:t xml:space="preserve"> – et de la question, abyssale</w:t>
      </w:r>
      <w:r w:rsidR="00C35950">
        <w:rPr>
          <w:rFonts w:ascii="Garamond" w:hAnsi="Garamond" w:cs="Times New Roman"/>
          <w:bCs/>
          <w:shd w:val="clear" w:color="auto" w:fill="FFFFFF"/>
        </w:rPr>
        <w:t>,</w:t>
      </w:r>
      <w:r w:rsidR="00CB3DD4">
        <w:rPr>
          <w:rFonts w:ascii="Garamond" w:hAnsi="Garamond" w:cs="Times New Roman"/>
          <w:bCs/>
          <w:shd w:val="clear" w:color="auto" w:fill="FFFFFF"/>
        </w:rPr>
        <w:t xml:space="preserve"> du respect de concrétisation</w:t>
      </w:r>
      <w:r w:rsidR="00C35950">
        <w:rPr>
          <w:rFonts w:ascii="Garamond" w:hAnsi="Garamond" w:cs="Times New Roman"/>
          <w:bCs/>
          <w:shd w:val="clear" w:color="auto" w:fill="FFFFFF"/>
        </w:rPr>
        <w:t>s</w:t>
      </w:r>
      <w:r w:rsidR="00CB3DD4">
        <w:rPr>
          <w:rFonts w:ascii="Garamond" w:hAnsi="Garamond" w:cs="Times New Roman"/>
          <w:bCs/>
          <w:shd w:val="clear" w:color="auto" w:fill="FFFFFF"/>
        </w:rPr>
        <w:t xml:space="preserve"> irrégulière</w:t>
      </w:r>
      <w:r w:rsidR="00C35950">
        <w:rPr>
          <w:rFonts w:ascii="Garamond" w:hAnsi="Garamond" w:cs="Times New Roman"/>
          <w:bCs/>
          <w:shd w:val="clear" w:color="auto" w:fill="FFFFFF"/>
        </w:rPr>
        <w:t>s</w:t>
      </w:r>
      <w:r w:rsidR="00CB3DD4">
        <w:rPr>
          <w:rFonts w:ascii="Garamond" w:hAnsi="Garamond" w:cs="Times New Roman"/>
          <w:bCs/>
          <w:shd w:val="clear" w:color="auto" w:fill="FFFFFF"/>
        </w:rPr>
        <w:t xml:space="preserve"> par </w:t>
      </w:r>
      <w:r w:rsidR="00D15E56">
        <w:rPr>
          <w:rFonts w:ascii="Garamond" w:hAnsi="Garamond" w:cs="Times New Roman"/>
          <w:bCs/>
          <w:shd w:val="clear" w:color="auto" w:fill="FFFFFF"/>
        </w:rPr>
        <w:t>l</w:t>
      </w:r>
      <w:r w:rsidR="00CB3DD4">
        <w:rPr>
          <w:rFonts w:ascii="Garamond" w:hAnsi="Garamond" w:cs="Times New Roman"/>
          <w:bCs/>
          <w:shd w:val="clear" w:color="auto" w:fill="FFFFFF"/>
        </w:rPr>
        <w:t xml:space="preserve">es organes d’application -, </w:t>
      </w:r>
      <w:r>
        <w:rPr>
          <w:rFonts w:ascii="Garamond" w:hAnsi="Garamond" w:cs="Times New Roman"/>
          <w:bCs/>
          <w:shd w:val="clear" w:color="auto" w:fill="FFFFFF"/>
        </w:rPr>
        <w:t xml:space="preserve">la question qui se pose est celle de savoir si cette concrétisation </w:t>
      </w:r>
      <w:r w:rsidR="00E27CA0">
        <w:rPr>
          <w:rFonts w:ascii="Garamond" w:hAnsi="Garamond" w:cs="Times New Roman"/>
          <w:bCs/>
          <w:shd w:val="clear" w:color="auto" w:fill="FFFFFF"/>
        </w:rPr>
        <w:t xml:space="preserve">jurisprudentielle d’un énoncé textuel </w:t>
      </w:r>
      <w:r>
        <w:rPr>
          <w:rFonts w:ascii="Garamond" w:hAnsi="Garamond" w:cs="Times New Roman"/>
          <w:bCs/>
          <w:shd w:val="clear" w:color="auto" w:fill="FFFFFF"/>
        </w:rPr>
        <w:t xml:space="preserve">s’impose aux États car c’est de là que dépend la portée des arrêts de la Cour. « S’imposer » aux </w:t>
      </w:r>
      <w:r w:rsidR="00E27CA0">
        <w:rPr>
          <w:rFonts w:ascii="Garamond" w:hAnsi="Garamond" w:cs="Times New Roman"/>
          <w:bCs/>
          <w:shd w:val="clear" w:color="auto" w:fill="FFFFFF"/>
        </w:rPr>
        <w:t>États</w:t>
      </w:r>
      <w:r>
        <w:rPr>
          <w:rFonts w:ascii="Garamond" w:hAnsi="Garamond" w:cs="Times New Roman"/>
          <w:bCs/>
          <w:shd w:val="clear" w:color="auto" w:fill="FFFFFF"/>
        </w:rPr>
        <w:t xml:space="preserve"> doit toutefois être précisé. L’appréciation de la Cour s’impose aux </w:t>
      </w:r>
      <w:r w:rsidR="00E27CA0">
        <w:rPr>
          <w:rFonts w:ascii="Garamond" w:hAnsi="Garamond" w:cs="Times New Roman"/>
          <w:bCs/>
          <w:shd w:val="clear" w:color="auto" w:fill="FFFFFF"/>
        </w:rPr>
        <w:t>États</w:t>
      </w:r>
      <w:r>
        <w:rPr>
          <w:rFonts w:ascii="Garamond" w:hAnsi="Garamond" w:cs="Times New Roman"/>
          <w:bCs/>
          <w:shd w:val="clear" w:color="auto" w:fill="FFFFFF"/>
        </w:rPr>
        <w:t xml:space="preserve"> dans la mesure où leur comportement</w:t>
      </w:r>
      <w:r w:rsidR="00C35950">
        <w:rPr>
          <w:rFonts w:ascii="Garamond" w:hAnsi="Garamond" w:cs="Times New Roman"/>
          <w:bCs/>
          <w:shd w:val="clear" w:color="auto" w:fill="FFFFFF"/>
        </w:rPr>
        <w:t>, matériel ou normatif,</w:t>
      </w:r>
      <w:r>
        <w:rPr>
          <w:rFonts w:ascii="Garamond" w:hAnsi="Garamond" w:cs="Times New Roman"/>
          <w:bCs/>
          <w:shd w:val="clear" w:color="auto" w:fill="FFFFFF"/>
        </w:rPr>
        <w:t xml:space="preserve"> seront appréciés au regard de cette jurisprudence</w:t>
      </w:r>
      <w:r w:rsidR="00C35950">
        <w:rPr>
          <w:rFonts w:ascii="Garamond" w:hAnsi="Garamond" w:cs="Times New Roman"/>
          <w:bCs/>
          <w:shd w:val="clear" w:color="auto" w:fill="FFFFFF"/>
        </w:rPr>
        <w:t>, c’est-à-dire à partir de la concrétisation jurisprudentielle des énoncés textuels</w:t>
      </w:r>
      <w:r>
        <w:rPr>
          <w:rFonts w:ascii="Garamond" w:hAnsi="Garamond" w:cs="Times New Roman"/>
          <w:bCs/>
          <w:shd w:val="clear" w:color="auto" w:fill="FFFFFF"/>
        </w:rPr>
        <w:t>.</w:t>
      </w:r>
      <w:r w:rsidR="00287107">
        <w:rPr>
          <w:rFonts w:ascii="Garamond" w:hAnsi="Garamond" w:cs="Times New Roman"/>
          <w:bCs/>
          <w:shd w:val="clear" w:color="auto" w:fill="FFFFFF"/>
        </w:rPr>
        <w:t xml:space="preserve"> Telle est la question concrète et pratique que soulève l’autorité de la jurisprudence de la Cour européenne des droits de l’homme : l’usage par les organes nationaux et, en particulier, par les juges nationaux, des concrétisations jurisprudentielles</w:t>
      </w:r>
      <w:r w:rsidR="009A73A8">
        <w:rPr>
          <w:rFonts w:ascii="Garamond" w:hAnsi="Garamond" w:cs="Times New Roman"/>
          <w:bCs/>
          <w:shd w:val="clear" w:color="auto" w:fill="FFFFFF"/>
        </w:rPr>
        <w:t xml:space="preserve"> des énoncés textuels posées par la Cour européenne pour apprécier la régularité des comportements et normes nationales par rapport aux stipulations de la Convention.</w:t>
      </w:r>
    </w:p>
    <w:p w14:paraId="62F07983" w14:textId="77777777" w:rsidR="00C35950" w:rsidRDefault="00C35950" w:rsidP="00717513">
      <w:pPr>
        <w:spacing w:line="340" w:lineRule="exact"/>
        <w:jc w:val="both"/>
        <w:rPr>
          <w:rFonts w:ascii="Garamond" w:hAnsi="Garamond" w:cs="Times New Roman"/>
          <w:bCs/>
          <w:shd w:val="clear" w:color="auto" w:fill="FFFFFF"/>
        </w:rPr>
      </w:pPr>
    </w:p>
    <w:p w14:paraId="17715F3D" w14:textId="3C0DCB9F" w:rsidR="00A23606" w:rsidRDefault="00C35950"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 xml:space="preserve">Dans le système conventionnel, </w:t>
      </w:r>
      <w:r w:rsidR="001C206B">
        <w:rPr>
          <w:rFonts w:ascii="Garamond" w:hAnsi="Garamond" w:cs="Times New Roman"/>
          <w:bCs/>
          <w:shd w:val="clear" w:color="auto" w:fill="FFFFFF"/>
        </w:rPr>
        <w:t xml:space="preserve">et au regard de l’article 46 de la Convention, </w:t>
      </w:r>
      <w:r>
        <w:rPr>
          <w:rFonts w:ascii="Garamond" w:hAnsi="Garamond" w:cs="Times New Roman"/>
          <w:bCs/>
          <w:shd w:val="clear" w:color="auto" w:fill="FFFFFF"/>
        </w:rPr>
        <w:t>peut-on considérer</w:t>
      </w:r>
      <w:r w:rsidR="00A23606">
        <w:rPr>
          <w:rFonts w:ascii="Garamond" w:hAnsi="Garamond" w:cs="Times New Roman"/>
          <w:bCs/>
          <w:shd w:val="clear" w:color="auto" w:fill="FFFFFF"/>
        </w:rPr>
        <w:t xml:space="preserve"> </w:t>
      </w:r>
      <w:r>
        <w:rPr>
          <w:rFonts w:ascii="Garamond" w:hAnsi="Garamond" w:cs="Times New Roman"/>
          <w:bCs/>
          <w:shd w:val="clear" w:color="auto" w:fill="FFFFFF"/>
        </w:rPr>
        <w:t xml:space="preserve">que </w:t>
      </w:r>
      <w:r w:rsidR="00A23606">
        <w:rPr>
          <w:rFonts w:ascii="Garamond" w:hAnsi="Garamond" w:cs="Times New Roman"/>
          <w:bCs/>
          <w:shd w:val="clear" w:color="auto" w:fill="FFFFFF"/>
        </w:rPr>
        <w:t xml:space="preserve">les juridictions nationales doivent </w:t>
      </w:r>
      <w:r w:rsidR="003B01AD">
        <w:rPr>
          <w:rFonts w:ascii="Garamond" w:hAnsi="Garamond" w:cs="Times New Roman"/>
          <w:bCs/>
          <w:shd w:val="clear" w:color="auto" w:fill="FFFFFF"/>
        </w:rPr>
        <w:t xml:space="preserve">utiliser les concrétisations </w:t>
      </w:r>
      <w:r w:rsidR="00E27CA0">
        <w:rPr>
          <w:rFonts w:ascii="Garamond" w:hAnsi="Garamond" w:cs="Times New Roman"/>
          <w:bCs/>
          <w:shd w:val="clear" w:color="auto" w:fill="FFFFFF"/>
        </w:rPr>
        <w:t xml:space="preserve">jurisprudentielles </w:t>
      </w:r>
      <w:r w:rsidR="003B01AD">
        <w:rPr>
          <w:rFonts w:ascii="Garamond" w:hAnsi="Garamond" w:cs="Times New Roman"/>
          <w:bCs/>
          <w:shd w:val="clear" w:color="auto" w:fill="FFFFFF"/>
        </w:rPr>
        <w:t xml:space="preserve">des normes de la Convention auxquelles procède </w:t>
      </w:r>
      <w:r w:rsidR="001C206B">
        <w:rPr>
          <w:rFonts w:ascii="Garamond" w:hAnsi="Garamond" w:cs="Times New Roman"/>
          <w:bCs/>
          <w:shd w:val="clear" w:color="auto" w:fill="FFFFFF"/>
        </w:rPr>
        <w:t xml:space="preserve">la Cour </w:t>
      </w:r>
      <w:r w:rsidR="00CB3DD4">
        <w:rPr>
          <w:rFonts w:ascii="Garamond" w:hAnsi="Garamond" w:cs="Times New Roman"/>
          <w:bCs/>
          <w:shd w:val="clear" w:color="auto" w:fill="FFFFFF"/>
        </w:rPr>
        <w:t xml:space="preserve">lorsqu’elles apprécient elle-même le respect de ces normes ? </w:t>
      </w:r>
      <w:r w:rsidR="001C206B">
        <w:rPr>
          <w:rFonts w:ascii="Garamond" w:hAnsi="Garamond" w:cs="Times New Roman"/>
          <w:bCs/>
          <w:shd w:val="clear" w:color="auto" w:fill="FFFFFF"/>
        </w:rPr>
        <w:t xml:space="preserve">Une telle interprétation serait pour le moins problématique. </w:t>
      </w:r>
      <w:r w:rsidR="00CB3DD4">
        <w:rPr>
          <w:rFonts w:ascii="Garamond" w:hAnsi="Garamond" w:cs="Times New Roman"/>
          <w:bCs/>
          <w:shd w:val="clear" w:color="auto" w:fill="FFFFFF"/>
        </w:rPr>
        <w:t xml:space="preserve">Si on </w:t>
      </w:r>
      <w:r w:rsidR="00D15E56">
        <w:rPr>
          <w:rFonts w:ascii="Garamond" w:hAnsi="Garamond" w:cs="Times New Roman"/>
          <w:bCs/>
          <w:shd w:val="clear" w:color="auto" w:fill="FFFFFF"/>
        </w:rPr>
        <w:t xml:space="preserve">la </w:t>
      </w:r>
      <w:r w:rsidR="001C206B">
        <w:rPr>
          <w:rFonts w:ascii="Garamond" w:hAnsi="Garamond" w:cs="Times New Roman"/>
          <w:bCs/>
          <w:shd w:val="clear" w:color="auto" w:fill="FFFFFF"/>
        </w:rPr>
        <w:t>suit,</w:t>
      </w:r>
      <w:r w:rsidR="00CB3DD4">
        <w:rPr>
          <w:rFonts w:ascii="Garamond" w:hAnsi="Garamond" w:cs="Times New Roman"/>
          <w:bCs/>
          <w:shd w:val="clear" w:color="auto" w:fill="FFFFFF"/>
        </w:rPr>
        <w:t xml:space="preserve"> </w:t>
      </w:r>
      <w:r w:rsidR="001C206B">
        <w:rPr>
          <w:rFonts w:ascii="Garamond" w:hAnsi="Garamond" w:cs="Times New Roman"/>
          <w:bCs/>
          <w:shd w:val="clear" w:color="auto" w:fill="FFFFFF"/>
        </w:rPr>
        <w:t>lorsqu</w:t>
      </w:r>
      <w:r w:rsidR="00CB3DD4">
        <w:rPr>
          <w:rFonts w:ascii="Garamond" w:hAnsi="Garamond" w:cs="Times New Roman"/>
          <w:bCs/>
          <w:shd w:val="clear" w:color="auto" w:fill="FFFFFF"/>
        </w:rPr>
        <w:t xml:space="preserve">’un </w:t>
      </w:r>
      <w:r w:rsidR="00E27CA0">
        <w:rPr>
          <w:rFonts w:ascii="Garamond" w:hAnsi="Garamond" w:cs="Times New Roman"/>
          <w:bCs/>
          <w:shd w:val="clear" w:color="auto" w:fill="FFFFFF"/>
        </w:rPr>
        <w:t>État</w:t>
      </w:r>
      <w:r w:rsidR="00CB3DD4">
        <w:rPr>
          <w:rFonts w:ascii="Garamond" w:hAnsi="Garamond" w:cs="Times New Roman"/>
          <w:bCs/>
          <w:shd w:val="clear" w:color="auto" w:fill="FFFFFF"/>
        </w:rPr>
        <w:t xml:space="preserve"> </w:t>
      </w:r>
      <w:r w:rsidR="001C206B">
        <w:rPr>
          <w:rFonts w:ascii="Garamond" w:hAnsi="Garamond" w:cs="Times New Roman"/>
          <w:bCs/>
          <w:shd w:val="clear" w:color="auto" w:fill="FFFFFF"/>
        </w:rPr>
        <w:t>est</w:t>
      </w:r>
      <w:r w:rsidR="00CB3DD4">
        <w:rPr>
          <w:rFonts w:ascii="Garamond" w:hAnsi="Garamond" w:cs="Times New Roman"/>
          <w:bCs/>
          <w:shd w:val="clear" w:color="auto" w:fill="FFFFFF"/>
        </w:rPr>
        <w:t xml:space="preserve"> </w:t>
      </w:r>
      <w:proofErr w:type="gramStart"/>
      <w:r w:rsidR="00CB3DD4">
        <w:rPr>
          <w:rFonts w:ascii="Garamond" w:hAnsi="Garamond" w:cs="Times New Roman"/>
          <w:bCs/>
          <w:shd w:val="clear" w:color="auto" w:fill="FFFFFF"/>
        </w:rPr>
        <w:t>partie</w:t>
      </w:r>
      <w:proofErr w:type="gramEnd"/>
      <w:r w:rsidR="00CB3DD4">
        <w:rPr>
          <w:rFonts w:ascii="Garamond" w:hAnsi="Garamond" w:cs="Times New Roman"/>
          <w:bCs/>
          <w:shd w:val="clear" w:color="auto" w:fill="FFFFFF"/>
        </w:rPr>
        <w:t xml:space="preserve"> à un litige, </w:t>
      </w:r>
      <w:r w:rsidR="001C206B">
        <w:rPr>
          <w:rFonts w:ascii="Garamond" w:hAnsi="Garamond" w:cs="Times New Roman"/>
          <w:bCs/>
          <w:shd w:val="clear" w:color="auto" w:fill="FFFFFF"/>
        </w:rPr>
        <w:t xml:space="preserve">qu’il soit </w:t>
      </w:r>
      <w:r w:rsidR="00CB3DD4">
        <w:rPr>
          <w:rFonts w:ascii="Garamond" w:hAnsi="Garamond" w:cs="Times New Roman"/>
          <w:bCs/>
          <w:shd w:val="clear" w:color="auto" w:fill="FFFFFF"/>
        </w:rPr>
        <w:t xml:space="preserve">condamné ou </w:t>
      </w:r>
      <w:r w:rsidR="001C206B">
        <w:rPr>
          <w:rFonts w:ascii="Garamond" w:hAnsi="Garamond" w:cs="Times New Roman"/>
          <w:bCs/>
          <w:shd w:val="clear" w:color="auto" w:fill="FFFFFF"/>
        </w:rPr>
        <w:t xml:space="preserve">qu’il ne soit pas </w:t>
      </w:r>
      <w:r w:rsidR="00CB3DD4">
        <w:rPr>
          <w:rFonts w:ascii="Garamond" w:hAnsi="Garamond" w:cs="Times New Roman"/>
          <w:bCs/>
          <w:shd w:val="clear" w:color="auto" w:fill="FFFFFF"/>
        </w:rPr>
        <w:t>condamné, il</w:t>
      </w:r>
      <w:r w:rsidR="001C206B">
        <w:rPr>
          <w:rFonts w:ascii="Garamond" w:hAnsi="Garamond" w:cs="Times New Roman"/>
          <w:bCs/>
          <w:shd w:val="clear" w:color="auto" w:fill="FFFFFF"/>
        </w:rPr>
        <w:t xml:space="preserve"> doi</w:t>
      </w:r>
      <w:r w:rsidR="00CB3DD4">
        <w:rPr>
          <w:rFonts w:ascii="Garamond" w:hAnsi="Garamond" w:cs="Times New Roman"/>
          <w:bCs/>
          <w:shd w:val="clear" w:color="auto" w:fill="FFFFFF"/>
        </w:rPr>
        <w:t xml:space="preserve">t respecter les concrétisations </w:t>
      </w:r>
      <w:r w:rsidR="00E27CA0">
        <w:rPr>
          <w:rFonts w:ascii="Garamond" w:hAnsi="Garamond" w:cs="Times New Roman"/>
          <w:bCs/>
          <w:shd w:val="clear" w:color="auto" w:fill="FFFFFF"/>
        </w:rPr>
        <w:t>jurisprudentiell</w:t>
      </w:r>
      <w:r w:rsidR="00CB3DD4">
        <w:rPr>
          <w:rFonts w:ascii="Garamond" w:hAnsi="Garamond" w:cs="Times New Roman"/>
          <w:bCs/>
          <w:shd w:val="clear" w:color="auto" w:fill="FFFFFF"/>
        </w:rPr>
        <w:t xml:space="preserve">es de la Convention. </w:t>
      </w:r>
      <w:r w:rsidR="001C206B">
        <w:rPr>
          <w:rFonts w:ascii="Garamond" w:hAnsi="Garamond" w:cs="Times New Roman"/>
          <w:bCs/>
          <w:shd w:val="clear" w:color="auto" w:fill="FFFFFF"/>
        </w:rPr>
        <w:t>Or</w:t>
      </w:r>
      <w:r w:rsidR="00CB3DD4">
        <w:rPr>
          <w:rFonts w:ascii="Garamond" w:hAnsi="Garamond" w:cs="Times New Roman"/>
          <w:bCs/>
          <w:shd w:val="clear" w:color="auto" w:fill="FFFFFF"/>
        </w:rPr>
        <w:t xml:space="preserve">, </w:t>
      </w:r>
      <w:r w:rsidR="001C206B">
        <w:rPr>
          <w:rFonts w:ascii="Garamond" w:hAnsi="Garamond" w:cs="Times New Roman"/>
          <w:bCs/>
          <w:shd w:val="clear" w:color="auto" w:fill="FFFFFF"/>
        </w:rPr>
        <w:t xml:space="preserve">en pratique, </w:t>
      </w:r>
      <w:r w:rsidR="00CB3DD4">
        <w:rPr>
          <w:rFonts w:ascii="Garamond" w:hAnsi="Garamond" w:cs="Times New Roman"/>
          <w:bCs/>
          <w:shd w:val="clear" w:color="auto" w:fill="FFFFFF"/>
        </w:rPr>
        <w:t>vu que ch</w:t>
      </w:r>
      <w:r w:rsidR="00915BA7">
        <w:rPr>
          <w:rFonts w:ascii="Garamond" w:hAnsi="Garamond" w:cs="Times New Roman"/>
          <w:bCs/>
          <w:shd w:val="clear" w:color="auto" w:fill="FFFFFF"/>
        </w:rPr>
        <w:t>a</w:t>
      </w:r>
      <w:r w:rsidR="00CB3DD4">
        <w:rPr>
          <w:rFonts w:ascii="Garamond" w:hAnsi="Garamond" w:cs="Times New Roman"/>
          <w:bCs/>
          <w:shd w:val="clear" w:color="auto" w:fill="FFFFFF"/>
        </w:rPr>
        <w:t>qu</w:t>
      </w:r>
      <w:r w:rsidR="00915BA7">
        <w:rPr>
          <w:rFonts w:ascii="Garamond" w:hAnsi="Garamond" w:cs="Times New Roman"/>
          <w:bCs/>
          <w:shd w:val="clear" w:color="auto" w:fill="FFFFFF"/>
        </w:rPr>
        <w:t>e</w:t>
      </w:r>
      <w:r w:rsidR="00CB3DD4">
        <w:rPr>
          <w:rFonts w:ascii="Garamond" w:hAnsi="Garamond" w:cs="Times New Roman"/>
          <w:bCs/>
          <w:shd w:val="clear" w:color="auto" w:fill="FFFFFF"/>
        </w:rPr>
        <w:t xml:space="preserve"> </w:t>
      </w:r>
      <w:r w:rsidR="00E27CA0">
        <w:rPr>
          <w:rFonts w:ascii="Garamond" w:hAnsi="Garamond" w:cs="Times New Roman"/>
          <w:bCs/>
          <w:shd w:val="clear" w:color="auto" w:fill="FFFFFF"/>
        </w:rPr>
        <w:t>État</w:t>
      </w:r>
      <w:r w:rsidR="00CB3DD4">
        <w:rPr>
          <w:rFonts w:ascii="Garamond" w:hAnsi="Garamond" w:cs="Times New Roman"/>
          <w:bCs/>
          <w:shd w:val="clear" w:color="auto" w:fill="FFFFFF"/>
        </w:rPr>
        <w:t xml:space="preserve"> a été partie</w:t>
      </w:r>
      <w:r w:rsidR="001C206B">
        <w:rPr>
          <w:rFonts w:ascii="Garamond" w:hAnsi="Garamond" w:cs="Times New Roman"/>
          <w:bCs/>
          <w:shd w:val="clear" w:color="auto" w:fill="FFFFFF"/>
        </w:rPr>
        <w:t>, une fois au moins,</w:t>
      </w:r>
      <w:r w:rsidR="00EB4296">
        <w:rPr>
          <w:rFonts w:ascii="Garamond" w:hAnsi="Garamond" w:cs="Times New Roman"/>
          <w:bCs/>
          <w:shd w:val="clear" w:color="auto" w:fill="FFFFFF"/>
        </w:rPr>
        <w:t xml:space="preserve"> à une affaire </w:t>
      </w:r>
      <w:r w:rsidR="00915BA7">
        <w:rPr>
          <w:rFonts w:ascii="Garamond" w:hAnsi="Garamond" w:cs="Times New Roman"/>
          <w:bCs/>
          <w:shd w:val="clear" w:color="auto" w:fill="FFFFFF"/>
        </w:rPr>
        <w:t>concernant</w:t>
      </w:r>
      <w:r w:rsidR="00EB4296">
        <w:rPr>
          <w:rFonts w:ascii="Garamond" w:hAnsi="Garamond" w:cs="Times New Roman"/>
          <w:bCs/>
          <w:shd w:val="clear" w:color="auto" w:fill="FFFFFF"/>
        </w:rPr>
        <w:t xml:space="preserve"> la violation de chacun des art</w:t>
      </w:r>
      <w:r w:rsidR="00E27CA0">
        <w:rPr>
          <w:rFonts w:ascii="Garamond" w:hAnsi="Garamond" w:cs="Times New Roman"/>
          <w:bCs/>
          <w:shd w:val="clear" w:color="auto" w:fill="FFFFFF"/>
        </w:rPr>
        <w:t>icles</w:t>
      </w:r>
      <w:r w:rsidR="00EB4296">
        <w:rPr>
          <w:rFonts w:ascii="Garamond" w:hAnsi="Garamond" w:cs="Times New Roman"/>
          <w:bCs/>
          <w:shd w:val="clear" w:color="auto" w:fill="FFFFFF"/>
        </w:rPr>
        <w:t xml:space="preserve"> de la </w:t>
      </w:r>
      <w:r w:rsidR="001C206B">
        <w:rPr>
          <w:rFonts w:ascii="Garamond" w:hAnsi="Garamond" w:cs="Times New Roman"/>
          <w:bCs/>
          <w:shd w:val="clear" w:color="auto" w:fill="FFFFFF"/>
        </w:rPr>
        <w:t>C</w:t>
      </w:r>
      <w:r w:rsidR="00EB4296">
        <w:rPr>
          <w:rFonts w:ascii="Garamond" w:hAnsi="Garamond" w:cs="Times New Roman"/>
          <w:bCs/>
          <w:shd w:val="clear" w:color="auto" w:fill="FFFFFF"/>
        </w:rPr>
        <w:t xml:space="preserve">onvention, </w:t>
      </w:r>
      <w:r w:rsidR="001C206B">
        <w:rPr>
          <w:rFonts w:ascii="Garamond" w:hAnsi="Garamond" w:cs="Times New Roman"/>
          <w:bCs/>
          <w:shd w:val="clear" w:color="auto" w:fill="FFFFFF"/>
        </w:rPr>
        <w:t>chaque État serait finalement lié à chacune des concrétisation</w:t>
      </w:r>
      <w:r w:rsidR="00EF2FD8">
        <w:rPr>
          <w:rFonts w:ascii="Garamond" w:hAnsi="Garamond" w:cs="Times New Roman"/>
          <w:bCs/>
          <w:shd w:val="clear" w:color="auto" w:fill="FFFFFF"/>
        </w:rPr>
        <w:t>s</w:t>
      </w:r>
      <w:r w:rsidR="001C206B">
        <w:rPr>
          <w:rFonts w:ascii="Garamond" w:hAnsi="Garamond" w:cs="Times New Roman"/>
          <w:bCs/>
          <w:shd w:val="clear" w:color="auto" w:fill="FFFFFF"/>
        </w:rPr>
        <w:t xml:space="preserve"> jurisprudentielles de la Cour, celles-ci ayant alors </w:t>
      </w:r>
      <w:r w:rsidR="00EB4296">
        <w:rPr>
          <w:rFonts w:ascii="Garamond" w:hAnsi="Garamond" w:cs="Times New Roman"/>
          <w:bCs/>
          <w:shd w:val="clear" w:color="auto" w:fill="FFFFFF"/>
        </w:rPr>
        <w:t>une autorité absolue</w:t>
      </w:r>
      <w:r w:rsidR="001C206B">
        <w:rPr>
          <w:rFonts w:ascii="Garamond" w:hAnsi="Garamond" w:cs="Times New Roman"/>
          <w:bCs/>
          <w:shd w:val="clear" w:color="auto" w:fill="FFFFFF"/>
        </w:rPr>
        <w:t xml:space="preserve"> auprès d l’ensemble des États</w:t>
      </w:r>
      <w:r w:rsidR="00EB4296">
        <w:rPr>
          <w:rFonts w:ascii="Garamond" w:hAnsi="Garamond" w:cs="Times New Roman"/>
          <w:bCs/>
          <w:shd w:val="clear" w:color="auto" w:fill="FFFFFF"/>
        </w:rPr>
        <w:t xml:space="preserve">. </w:t>
      </w:r>
      <w:r w:rsidR="00E27CA0">
        <w:rPr>
          <w:rFonts w:ascii="Garamond" w:hAnsi="Garamond" w:cs="Times New Roman"/>
          <w:bCs/>
          <w:shd w:val="clear" w:color="auto" w:fill="FFFFFF"/>
        </w:rPr>
        <w:t>Cette s</w:t>
      </w:r>
      <w:r w:rsidR="00EB4296">
        <w:rPr>
          <w:rFonts w:ascii="Garamond" w:hAnsi="Garamond" w:cs="Times New Roman"/>
          <w:bCs/>
          <w:shd w:val="clear" w:color="auto" w:fill="FFFFFF"/>
        </w:rPr>
        <w:t>olution</w:t>
      </w:r>
      <w:r w:rsidR="00E27CA0">
        <w:rPr>
          <w:rFonts w:ascii="Garamond" w:hAnsi="Garamond" w:cs="Times New Roman"/>
          <w:bCs/>
          <w:shd w:val="clear" w:color="auto" w:fill="FFFFFF"/>
        </w:rPr>
        <w:t xml:space="preserve"> se révèle</w:t>
      </w:r>
      <w:r w:rsidR="00EB4296">
        <w:rPr>
          <w:rFonts w:ascii="Garamond" w:hAnsi="Garamond" w:cs="Times New Roman"/>
          <w:bCs/>
          <w:shd w:val="clear" w:color="auto" w:fill="FFFFFF"/>
        </w:rPr>
        <w:t xml:space="preserve"> absurde. </w:t>
      </w:r>
      <w:r w:rsidR="00177732">
        <w:rPr>
          <w:rFonts w:ascii="Garamond" w:hAnsi="Garamond" w:cs="Times New Roman"/>
          <w:bCs/>
          <w:shd w:val="clear" w:color="auto" w:fill="FFFFFF"/>
        </w:rPr>
        <w:t>L’article 46 ne saurait limiter</w:t>
      </w:r>
      <w:r w:rsidR="006B4DCE">
        <w:rPr>
          <w:rFonts w:ascii="Garamond" w:hAnsi="Garamond" w:cs="Times New Roman"/>
          <w:bCs/>
          <w:shd w:val="clear" w:color="auto" w:fill="FFFFFF"/>
        </w:rPr>
        <w:t>, par son énoncé,</w:t>
      </w:r>
      <w:r w:rsidR="00177732">
        <w:rPr>
          <w:rFonts w:ascii="Garamond" w:hAnsi="Garamond" w:cs="Times New Roman"/>
          <w:bCs/>
          <w:shd w:val="clear" w:color="auto" w:fill="FFFFFF"/>
        </w:rPr>
        <w:t xml:space="preserve"> aux </w:t>
      </w:r>
      <w:r w:rsidR="00EF2FD8">
        <w:rPr>
          <w:rFonts w:ascii="Garamond" w:hAnsi="Garamond" w:cs="Times New Roman"/>
          <w:bCs/>
          <w:shd w:val="clear" w:color="auto" w:fill="FFFFFF"/>
        </w:rPr>
        <w:t xml:space="preserve">seuls </w:t>
      </w:r>
      <w:r w:rsidR="001C206B">
        <w:rPr>
          <w:rFonts w:ascii="Garamond" w:hAnsi="Garamond" w:cs="Times New Roman"/>
          <w:bCs/>
          <w:shd w:val="clear" w:color="auto" w:fill="FFFFFF"/>
        </w:rPr>
        <w:t xml:space="preserve">États </w:t>
      </w:r>
      <w:r w:rsidR="00177732">
        <w:rPr>
          <w:rFonts w:ascii="Garamond" w:hAnsi="Garamond" w:cs="Times New Roman"/>
          <w:bCs/>
          <w:shd w:val="clear" w:color="auto" w:fill="FFFFFF"/>
        </w:rPr>
        <w:t>parties l’autorité des arrêts pour</w:t>
      </w:r>
      <w:r w:rsidR="00B23EA0">
        <w:rPr>
          <w:rFonts w:ascii="Garamond" w:hAnsi="Garamond" w:cs="Times New Roman"/>
          <w:bCs/>
          <w:shd w:val="clear" w:color="auto" w:fill="FFFFFF"/>
        </w:rPr>
        <w:t>, en réalité, imposer</w:t>
      </w:r>
      <w:r w:rsidR="006B4DCE">
        <w:rPr>
          <w:rFonts w:ascii="Garamond" w:hAnsi="Garamond" w:cs="Times New Roman"/>
          <w:bCs/>
          <w:shd w:val="clear" w:color="auto" w:fill="FFFFFF"/>
        </w:rPr>
        <w:t>, au-delà du texte,</w:t>
      </w:r>
      <w:r w:rsidR="00B23EA0">
        <w:rPr>
          <w:rFonts w:ascii="Garamond" w:hAnsi="Garamond" w:cs="Times New Roman"/>
          <w:bCs/>
          <w:shd w:val="clear" w:color="auto" w:fill="FFFFFF"/>
        </w:rPr>
        <w:t xml:space="preserve"> une autorité générale</w:t>
      </w:r>
      <w:r w:rsidR="00EF2FD8">
        <w:rPr>
          <w:rFonts w:ascii="Garamond" w:hAnsi="Garamond" w:cs="Times New Roman"/>
          <w:bCs/>
          <w:shd w:val="clear" w:color="auto" w:fill="FFFFFF"/>
        </w:rPr>
        <w:t xml:space="preserve"> à tous les États</w:t>
      </w:r>
      <w:r w:rsidR="00B23EA0">
        <w:rPr>
          <w:rFonts w:ascii="Garamond" w:hAnsi="Garamond" w:cs="Times New Roman"/>
          <w:bCs/>
          <w:shd w:val="clear" w:color="auto" w:fill="FFFFFF"/>
        </w:rPr>
        <w:t xml:space="preserve">. Si les énoncés normatifs </w:t>
      </w:r>
      <w:r w:rsidR="009A73A8">
        <w:rPr>
          <w:rFonts w:ascii="Garamond" w:hAnsi="Garamond" w:cs="Times New Roman"/>
          <w:bCs/>
          <w:shd w:val="clear" w:color="auto" w:fill="FFFFFF"/>
        </w:rPr>
        <w:t xml:space="preserve">textuels </w:t>
      </w:r>
      <w:r w:rsidR="00B23EA0">
        <w:rPr>
          <w:rFonts w:ascii="Garamond" w:hAnsi="Garamond" w:cs="Times New Roman"/>
          <w:bCs/>
          <w:shd w:val="clear" w:color="auto" w:fill="FFFFFF"/>
        </w:rPr>
        <w:t xml:space="preserve">ont un sens pour ceux qui les ont édictés, ce qui, certes, n’est pas toujours la vision de la Cour européenne, l’on voit mal comment </w:t>
      </w:r>
      <w:r w:rsidR="006B4DCE">
        <w:rPr>
          <w:rFonts w:ascii="Garamond" w:hAnsi="Garamond" w:cs="Times New Roman"/>
          <w:bCs/>
          <w:shd w:val="clear" w:color="auto" w:fill="FFFFFF"/>
        </w:rPr>
        <w:t>l’</w:t>
      </w:r>
      <w:r w:rsidR="00B23EA0">
        <w:rPr>
          <w:rFonts w:ascii="Garamond" w:hAnsi="Garamond" w:cs="Times New Roman"/>
          <w:bCs/>
          <w:shd w:val="clear" w:color="auto" w:fill="FFFFFF"/>
        </w:rPr>
        <w:t xml:space="preserve">autorité </w:t>
      </w:r>
      <w:r w:rsidR="006B4DCE">
        <w:rPr>
          <w:rFonts w:ascii="Garamond" w:hAnsi="Garamond" w:cs="Times New Roman"/>
          <w:bCs/>
          <w:shd w:val="clear" w:color="auto" w:fill="FFFFFF"/>
        </w:rPr>
        <w:t xml:space="preserve">des arrêts, </w:t>
      </w:r>
      <w:r w:rsidR="00B23EA0">
        <w:rPr>
          <w:rFonts w:ascii="Garamond" w:hAnsi="Garamond" w:cs="Times New Roman"/>
          <w:bCs/>
          <w:shd w:val="clear" w:color="auto" w:fill="FFFFFF"/>
        </w:rPr>
        <w:t>formulée comme contraignant</w:t>
      </w:r>
      <w:r w:rsidR="006B4DCE">
        <w:rPr>
          <w:rFonts w:ascii="Garamond" w:hAnsi="Garamond" w:cs="Times New Roman"/>
          <w:bCs/>
          <w:shd w:val="clear" w:color="auto" w:fill="FFFFFF"/>
        </w:rPr>
        <w:t>e</w:t>
      </w:r>
      <w:r w:rsidR="00B23EA0">
        <w:rPr>
          <w:rFonts w:ascii="Garamond" w:hAnsi="Garamond" w:cs="Times New Roman"/>
          <w:bCs/>
          <w:shd w:val="clear" w:color="auto" w:fill="FFFFFF"/>
        </w:rPr>
        <w:t xml:space="preserve"> à l’égard des seules parties au litige</w:t>
      </w:r>
      <w:r w:rsidR="006B4DCE">
        <w:rPr>
          <w:rFonts w:ascii="Garamond" w:hAnsi="Garamond" w:cs="Times New Roman"/>
          <w:bCs/>
          <w:shd w:val="clear" w:color="auto" w:fill="FFFFFF"/>
        </w:rPr>
        <w:t>,</w:t>
      </w:r>
      <w:r w:rsidR="00B23EA0">
        <w:rPr>
          <w:rFonts w:ascii="Garamond" w:hAnsi="Garamond" w:cs="Times New Roman"/>
          <w:bCs/>
          <w:shd w:val="clear" w:color="auto" w:fill="FFFFFF"/>
        </w:rPr>
        <w:t xml:space="preserve"> s’étendrait à tous les États contraints par la Convention européenne. </w:t>
      </w:r>
      <w:r w:rsidR="00EF2FD8">
        <w:rPr>
          <w:rFonts w:ascii="Garamond" w:hAnsi="Garamond" w:cs="Times New Roman"/>
          <w:bCs/>
          <w:shd w:val="clear" w:color="auto" w:fill="FFFFFF"/>
        </w:rPr>
        <w:t>E</w:t>
      </w:r>
      <w:r w:rsidR="00B23EA0">
        <w:rPr>
          <w:rFonts w:ascii="Garamond" w:hAnsi="Garamond" w:cs="Times New Roman"/>
          <w:bCs/>
          <w:shd w:val="clear" w:color="auto" w:fill="FFFFFF"/>
        </w:rPr>
        <w:t>n opportunité, s</w:t>
      </w:r>
      <w:r w:rsidR="00EB4296">
        <w:rPr>
          <w:rFonts w:ascii="Garamond" w:hAnsi="Garamond" w:cs="Times New Roman"/>
          <w:bCs/>
          <w:shd w:val="clear" w:color="auto" w:fill="FFFFFF"/>
        </w:rPr>
        <w:t xml:space="preserve">i l’article 46 de la Convention confère aux </w:t>
      </w:r>
      <w:r w:rsidR="00915BA7">
        <w:rPr>
          <w:rFonts w:ascii="Garamond" w:hAnsi="Garamond" w:cs="Times New Roman"/>
          <w:bCs/>
          <w:shd w:val="clear" w:color="auto" w:fill="FFFFFF"/>
        </w:rPr>
        <w:t>concrétisations</w:t>
      </w:r>
      <w:r w:rsidR="00EB4296">
        <w:rPr>
          <w:rFonts w:ascii="Garamond" w:hAnsi="Garamond" w:cs="Times New Roman"/>
          <w:bCs/>
          <w:shd w:val="clear" w:color="auto" w:fill="FFFFFF"/>
        </w:rPr>
        <w:t xml:space="preserve"> normatives de la Convention opérées par la Cour une autorité absolue</w:t>
      </w:r>
      <w:r w:rsidR="00E27CA0">
        <w:rPr>
          <w:rFonts w:ascii="Garamond" w:hAnsi="Garamond" w:cs="Times New Roman"/>
          <w:bCs/>
          <w:shd w:val="clear" w:color="auto" w:fill="FFFFFF"/>
        </w:rPr>
        <w:t>,</w:t>
      </w:r>
      <w:r w:rsidR="00EB4296">
        <w:rPr>
          <w:rFonts w:ascii="Garamond" w:hAnsi="Garamond" w:cs="Times New Roman"/>
          <w:bCs/>
          <w:shd w:val="clear" w:color="auto" w:fill="FFFFFF"/>
        </w:rPr>
        <w:t xml:space="preserve"> alors</w:t>
      </w:r>
      <w:r w:rsidR="00E27CA0">
        <w:rPr>
          <w:rFonts w:ascii="Garamond" w:hAnsi="Garamond" w:cs="Times New Roman"/>
          <w:bCs/>
          <w:shd w:val="clear" w:color="auto" w:fill="FFFFFF"/>
        </w:rPr>
        <w:t>,</w:t>
      </w:r>
      <w:r w:rsidR="00EB4296">
        <w:rPr>
          <w:rFonts w:ascii="Garamond" w:hAnsi="Garamond" w:cs="Times New Roman"/>
          <w:bCs/>
          <w:shd w:val="clear" w:color="auto" w:fill="FFFFFF"/>
        </w:rPr>
        <w:t xml:space="preserve"> il n’a pas de sens</w:t>
      </w:r>
      <w:r w:rsidR="00E27CA0">
        <w:rPr>
          <w:rFonts w:ascii="Garamond" w:hAnsi="Garamond" w:cs="Times New Roman"/>
          <w:bCs/>
          <w:shd w:val="clear" w:color="auto" w:fill="FFFFFF"/>
        </w:rPr>
        <w:t>,</w:t>
      </w:r>
      <w:r w:rsidR="00EB4296">
        <w:rPr>
          <w:rFonts w:ascii="Garamond" w:hAnsi="Garamond" w:cs="Times New Roman"/>
          <w:bCs/>
          <w:shd w:val="clear" w:color="auto" w:fill="FFFFFF"/>
        </w:rPr>
        <w:t xml:space="preserve"> car il </w:t>
      </w:r>
      <w:r w:rsidR="00915BA7">
        <w:rPr>
          <w:rFonts w:ascii="Garamond" w:hAnsi="Garamond" w:cs="Times New Roman"/>
          <w:bCs/>
          <w:shd w:val="clear" w:color="auto" w:fill="FFFFFF"/>
        </w:rPr>
        <w:t>conférerait</w:t>
      </w:r>
      <w:r w:rsidR="00EB4296">
        <w:rPr>
          <w:rFonts w:ascii="Garamond" w:hAnsi="Garamond" w:cs="Times New Roman"/>
          <w:bCs/>
          <w:shd w:val="clear" w:color="auto" w:fill="FFFFFF"/>
        </w:rPr>
        <w:t xml:space="preserve"> un pouvoir normatif absolu à la Cour.</w:t>
      </w:r>
    </w:p>
    <w:p w14:paraId="1E29BFF2" w14:textId="42B57B5C" w:rsidR="00EB4296" w:rsidRDefault="00EB4296" w:rsidP="00717513">
      <w:pPr>
        <w:spacing w:line="340" w:lineRule="exact"/>
        <w:jc w:val="both"/>
        <w:rPr>
          <w:rFonts w:ascii="Garamond" w:hAnsi="Garamond" w:cs="Times New Roman"/>
          <w:bCs/>
          <w:shd w:val="clear" w:color="auto" w:fill="FFFFFF"/>
        </w:rPr>
      </w:pPr>
    </w:p>
    <w:p w14:paraId="474A5299" w14:textId="10355933" w:rsidR="00EB4296" w:rsidRDefault="00EB4296"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 xml:space="preserve">Il veut </w:t>
      </w:r>
      <w:r w:rsidR="00F64924">
        <w:rPr>
          <w:rFonts w:ascii="Garamond" w:hAnsi="Garamond" w:cs="Times New Roman"/>
          <w:bCs/>
          <w:shd w:val="clear" w:color="auto" w:fill="FFFFFF"/>
        </w:rPr>
        <w:t xml:space="preserve">donc </w:t>
      </w:r>
      <w:r>
        <w:rPr>
          <w:rFonts w:ascii="Garamond" w:hAnsi="Garamond" w:cs="Times New Roman"/>
          <w:bCs/>
          <w:shd w:val="clear" w:color="auto" w:fill="FFFFFF"/>
        </w:rPr>
        <w:t xml:space="preserve">dire autre chose, </w:t>
      </w:r>
      <w:r w:rsidR="00915BA7">
        <w:rPr>
          <w:rFonts w:ascii="Garamond" w:hAnsi="Garamond" w:cs="Times New Roman"/>
          <w:bCs/>
          <w:shd w:val="clear" w:color="auto" w:fill="FFFFFF"/>
        </w:rPr>
        <w:t xml:space="preserve">ne peut vouloir dire autre chose, à savoir </w:t>
      </w:r>
      <w:r>
        <w:rPr>
          <w:rFonts w:ascii="Garamond" w:hAnsi="Garamond" w:cs="Times New Roman"/>
          <w:bCs/>
          <w:shd w:val="clear" w:color="auto" w:fill="FFFFFF"/>
        </w:rPr>
        <w:t>se conformer au seul dispositif</w:t>
      </w:r>
      <w:r w:rsidR="00A81582">
        <w:rPr>
          <w:rFonts w:ascii="Garamond" w:hAnsi="Garamond" w:cs="Times New Roman"/>
          <w:bCs/>
          <w:shd w:val="clear" w:color="auto" w:fill="FFFFFF"/>
        </w:rPr>
        <w:t>, à la seule norme individuelle et concrète posée par le juge, celle qui consiste à constater dans une situation déterminée s’il y a eu ou s’il n’y a pas eu de violation de la Convention et</w:t>
      </w:r>
      <w:r w:rsidR="00C64934">
        <w:rPr>
          <w:rFonts w:ascii="Garamond" w:hAnsi="Garamond" w:cs="Times New Roman"/>
          <w:bCs/>
          <w:shd w:val="clear" w:color="auto" w:fill="FFFFFF"/>
        </w:rPr>
        <w:t>, le cas échéant,</w:t>
      </w:r>
      <w:r w:rsidR="00A81582">
        <w:rPr>
          <w:rFonts w:ascii="Garamond" w:hAnsi="Garamond" w:cs="Times New Roman"/>
          <w:bCs/>
          <w:shd w:val="clear" w:color="auto" w:fill="FFFFFF"/>
        </w:rPr>
        <w:t xml:space="preserve"> s’il y a lieu à une satisfaction équitable.</w:t>
      </w:r>
      <w:r w:rsidR="00C64934">
        <w:rPr>
          <w:rFonts w:ascii="Garamond" w:hAnsi="Garamond" w:cs="Times New Roman"/>
          <w:bCs/>
          <w:shd w:val="clear" w:color="auto" w:fill="FFFFFF"/>
        </w:rPr>
        <w:t xml:space="preserve"> Pour reprendre l’exemple à propos de la liberté d’expression, le dispositif de l’arrêt de la Cour cité est le suivant :</w:t>
      </w:r>
    </w:p>
    <w:p w14:paraId="1789A303" w14:textId="77777777" w:rsidR="00B23EA0" w:rsidRDefault="00B23EA0" w:rsidP="00F64924">
      <w:pPr>
        <w:spacing w:line="340" w:lineRule="exact"/>
        <w:ind w:left="851" w:right="850"/>
        <w:jc w:val="both"/>
        <w:rPr>
          <w:rFonts w:ascii="Garamond" w:hAnsi="Garamond" w:cs="Times New Roman"/>
          <w:bCs/>
          <w:shd w:val="clear" w:color="auto" w:fill="FFFFFF"/>
        </w:rPr>
      </w:pPr>
    </w:p>
    <w:p w14:paraId="07E7A2FD" w14:textId="0EB02BB6" w:rsidR="00C64934" w:rsidRPr="00C64934" w:rsidRDefault="00C64934" w:rsidP="00F64924">
      <w:pPr>
        <w:spacing w:line="340" w:lineRule="exact"/>
        <w:ind w:left="851" w:right="850"/>
        <w:jc w:val="both"/>
        <w:rPr>
          <w:rFonts w:ascii="Garamond" w:hAnsi="Garamond" w:cs="Times New Roman"/>
          <w:bCs/>
          <w:shd w:val="clear" w:color="auto" w:fill="FFFFFF"/>
        </w:rPr>
      </w:pPr>
      <w:r>
        <w:rPr>
          <w:rFonts w:ascii="Garamond" w:hAnsi="Garamond" w:cs="Times New Roman"/>
          <w:bCs/>
          <w:shd w:val="clear" w:color="auto" w:fill="FFFFFF"/>
        </w:rPr>
        <w:lastRenderedPageBreak/>
        <w:t>« </w:t>
      </w:r>
      <w:r w:rsidRPr="00C64934">
        <w:rPr>
          <w:rFonts w:ascii="Garamond" w:hAnsi="Garamond" w:cs="Times New Roman"/>
          <w:bCs/>
          <w:shd w:val="clear" w:color="auto" w:fill="FFFFFF"/>
        </w:rPr>
        <w:t>PAR CES MOTIFS, LA COUR, À L’UNANIMITÉ,</w:t>
      </w:r>
    </w:p>
    <w:p w14:paraId="15648138" w14:textId="1ADF9150" w:rsidR="00C64934" w:rsidRPr="00C64934" w:rsidRDefault="00C64934" w:rsidP="00F64924">
      <w:pPr>
        <w:spacing w:line="340" w:lineRule="exact"/>
        <w:ind w:left="851" w:right="850"/>
        <w:jc w:val="both"/>
        <w:rPr>
          <w:rFonts w:ascii="Garamond" w:hAnsi="Garamond" w:cs="Times New Roman"/>
          <w:bCs/>
          <w:shd w:val="clear" w:color="auto" w:fill="FFFFFF"/>
        </w:rPr>
      </w:pPr>
      <w:r w:rsidRPr="00C64934">
        <w:rPr>
          <w:rFonts w:ascii="Garamond" w:hAnsi="Garamond" w:cs="Times New Roman"/>
          <w:bCs/>
          <w:shd w:val="clear" w:color="auto" w:fill="FFFFFF"/>
        </w:rPr>
        <w:t>1. Dit qu’il y a eu violation de l’article 6 § 1 de la Convention ;</w:t>
      </w:r>
    </w:p>
    <w:p w14:paraId="50495AC3" w14:textId="0F4666B9" w:rsidR="00C64934" w:rsidRPr="00C64934" w:rsidRDefault="00C64934" w:rsidP="00F64924">
      <w:pPr>
        <w:spacing w:line="340" w:lineRule="exact"/>
        <w:ind w:left="851" w:right="850"/>
        <w:jc w:val="both"/>
        <w:rPr>
          <w:rFonts w:ascii="Garamond" w:hAnsi="Garamond" w:cs="Times New Roman"/>
          <w:bCs/>
          <w:shd w:val="clear" w:color="auto" w:fill="FFFFFF"/>
        </w:rPr>
      </w:pPr>
      <w:r w:rsidRPr="00C64934">
        <w:rPr>
          <w:rFonts w:ascii="Garamond" w:hAnsi="Garamond" w:cs="Times New Roman"/>
          <w:bCs/>
          <w:shd w:val="clear" w:color="auto" w:fill="FFFFFF"/>
        </w:rPr>
        <w:t>2. Dit qu’il y a eu violation de l’article 10 de la Convention ;</w:t>
      </w:r>
    </w:p>
    <w:p w14:paraId="292BDC95" w14:textId="7F9EEF11" w:rsidR="00C64934" w:rsidRPr="00C64934" w:rsidRDefault="00C64934" w:rsidP="00F64924">
      <w:pPr>
        <w:spacing w:line="340" w:lineRule="exact"/>
        <w:ind w:left="851" w:right="850"/>
        <w:jc w:val="both"/>
        <w:rPr>
          <w:rFonts w:ascii="Garamond" w:hAnsi="Garamond" w:cs="Times New Roman"/>
          <w:bCs/>
          <w:shd w:val="clear" w:color="auto" w:fill="FFFFFF"/>
        </w:rPr>
      </w:pPr>
      <w:r w:rsidRPr="00C64934">
        <w:rPr>
          <w:rFonts w:ascii="Garamond" w:hAnsi="Garamond" w:cs="Times New Roman"/>
          <w:bCs/>
          <w:shd w:val="clear" w:color="auto" w:fill="FFFFFF"/>
        </w:rPr>
        <w:t>3. Dit</w:t>
      </w:r>
    </w:p>
    <w:p w14:paraId="12BA0FA2" w14:textId="14E711B4" w:rsidR="00C64934" w:rsidRPr="00C64934" w:rsidRDefault="00C64934" w:rsidP="00F64924">
      <w:pPr>
        <w:spacing w:line="340" w:lineRule="exact"/>
        <w:ind w:left="851" w:right="850"/>
        <w:jc w:val="both"/>
        <w:rPr>
          <w:rFonts w:ascii="Garamond" w:hAnsi="Garamond" w:cs="Times New Roman"/>
          <w:bCs/>
          <w:shd w:val="clear" w:color="auto" w:fill="FFFFFF"/>
        </w:rPr>
      </w:pPr>
      <w:r w:rsidRPr="00C64934">
        <w:rPr>
          <w:rFonts w:ascii="Garamond" w:hAnsi="Garamond" w:cs="Times New Roman"/>
          <w:bCs/>
          <w:shd w:val="clear" w:color="auto" w:fill="FFFFFF"/>
        </w:rPr>
        <w:t>a) que l’État défendeur doit verser au requérant, dans les trois mois, les sommes suivantes</w:t>
      </w:r>
      <w:r>
        <w:rPr>
          <w:rFonts w:ascii="Garamond" w:hAnsi="Garamond" w:cs="Times New Roman"/>
          <w:bCs/>
          <w:shd w:val="clear" w:color="auto" w:fill="FFFFFF"/>
        </w:rPr>
        <w:t> :</w:t>
      </w:r>
    </w:p>
    <w:p w14:paraId="06F6629E" w14:textId="77777777" w:rsidR="00C64934" w:rsidRPr="00C64934" w:rsidRDefault="00C64934" w:rsidP="00F64924">
      <w:pPr>
        <w:spacing w:line="340" w:lineRule="exact"/>
        <w:ind w:left="851" w:right="850"/>
        <w:jc w:val="both"/>
        <w:rPr>
          <w:rFonts w:ascii="Garamond" w:hAnsi="Garamond" w:cs="Times New Roman"/>
          <w:bCs/>
          <w:shd w:val="clear" w:color="auto" w:fill="FFFFFF"/>
        </w:rPr>
      </w:pPr>
      <w:r w:rsidRPr="00C64934">
        <w:rPr>
          <w:rFonts w:ascii="Garamond" w:hAnsi="Garamond" w:cs="Times New Roman"/>
          <w:bCs/>
          <w:shd w:val="clear" w:color="auto" w:fill="FFFFFF"/>
        </w:rPr>
        <w:t>i.  4 270 EUR (quatre mille deux cent soixante-dix euros), plus tout montant pouvant être dû à titre d’impôt, pour dommage matériel,</w:t>
      </w:r>
    </w:p>
    <w:p w14:paraId="3531F3AF" w14:textId="77777777" w:rsidR="00C64934" w:rsidRPr="00C64934" w:rsidRDefault="00C64934" w:rsidP="00F64924">
      <w:pPr>
        <w:spacing w:line="340" w:lineRule="exact"/>
        <w:ind w:left="851" w:right="850"/>
        <w:jc w:val="both"/>
        <w:rPr>
          <w:rFonts w:ascii="Garamond" w:hAnsi="Garamond" w:cs="Times New Roman"/>
          <w:bCs/>
          <w:shd w:val="clear" w:color="auto" w:fill="FFFFFF"/>
        </w:rPr>
      </w:pPr>
      <w:r w:rsidRPr="00C64934">
        <w:rPr>
          <w:rFonts w:ascii="Garamond" w:hAnsi="Garamond" w:cs="Times New Roman"/>
          <w:bCs/>
          <w:shd w:val="clear" w:color="auto" w:fill="FFFFFF"/>
        </w:rPr>
        <w:t>ii.  15 000 EUR (quinze mille euros), plus tout montant pouvant être dû à titre d’impôt, pour dommage moral,</w:t>
      </w:r>
    </w:p>
    <w:p w14:paraId="585E4176" w14:textId="77777777" w:rsidR="00C64934" w:rsidRPr="00C64934" w:rsidRDefault="00C64934" w:rsidP="00F64924">
      <w:pPr>
        <w:spacing w:line="340" w:lineRule="exact"/>
        <w:ind w:left="851" w:right="850"/>
        <w:jc w:val="both"/>
        <w:rPr>
          <w:rFonts w:ascii="Garamond" w:hAnsi="Garamond" w:cs="Times New Roman"/>
          <w:bCs/>
          <w:shd w:val="clear" w:color="auto" w:fill="FFFFFF"/>
        </w:rPr>
      </w:pPr>
      <w:r w:rsidRPr="00C64934">
        <w:rPr>
          <w:rFonts w:ascii="Garamond" w:hAnsi="Garamond" w:cs="Times New Roman"/>
          <w:bCs/>
          <w:shd w:val="clear" w:color="auto" w:fill="FFFFFF"/>
        </w:rPr>
        <w:t>iii.  14 400 EUR (quatorze mille quatre cents euros), plus tout montant pouvant être dû à titre d’impôt par le requérant, pour frais et dépens ;</w:t>
      </w:r>
    </w:p>
    <w:p w14:paraId="76280E82" w14:textId="7780FE41" w:rsidR="00C64934" w:rsidRPr="00C64934" w:rsidRDefault="00C64934" w:rsidP="00F64924">
      <w:pPr>
        <w:spacing w:line="340" w:lineRule="exact"/>
        <w:ind w:left="851" w:right="850"/>
        <w:jc w:val="both"/>
        <w:rPr>
          <w:rFonts w:ascii="Garamond" w:hAnsi="Garamond" w:cs="Times New Roman"/>
          <w:bCs/>
          <w:shd w:val="clear" w:color="auto" w:fill="FFFFFF"/>
        </w:rPr>
      </w:pPr>
      <w:r w:rsidRPr="00C64934">
        <w:rPr>
          <w:rFonts w:ascii="Garamond" w:hAnsi="Garamond" w:cs="Times New Roman"/>
          <w:bCs/>
          <w:shd w:val="clear" w:color="auto" w:fill="FFFFFF"/>
        </w:rPr>
        <w:t>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w:t>
      </w:r>
    </w:p>
    <w:p w14:paraId="0F2625E9" w14:textId="1F46B5C4" w:rsidR="00C64934" w:rsidRDefault="00C64934" w:rsidP="00F64924">
      <w:pPr>
        <w:spacing w:line="340" w:lineRule="exact"/>
        <w:ind w:left="851" w:right="850"/>
        <w:jc w:val="both"/>
        <w:rPr>
          <w:rFonts w:ascii="Garamond" w:hAnsi="Garamond" w:cs="Times New Roman"/>
          <w:bCs/>
          <w:shd w:val="clear" w:color="auto" w:fill="FFFFFF"/>
        </w:rPr>
      </w:pPr>
      <w:r w:rsidRPr="00C64934">
        <w:rPr>
          <w:rFonts w:ascii="Garamond" w:hAnsi="Garamond" w:cs="Times New Roman"/>
          <w:bCs/>
          <w:shd w:val="clear" w:color="auto" w:fill="FFFFFF"/>
        </w:rPr>
        <w:t>4.  Rejette la demande de satisfaction équitable pour le surplus.</w:t>
      </w:r>
      <w:r>
        <w:rPr>
          <w:rFonts w:ascii="Garamond" w:hAnsi="Garamond" w:cs="Times New Roman"/>
          <w:bCs/>
          <w:shd w:val="clear" w:color="auto" w:fill="FFFFFF"/>
        </w:rPr>
        <w:t> »</w:t>
      </w:r>
    </w:p>
    <w:p w14:paraId="18291306" w14:textId="77777777" w:rsidR="00B23EA0" w:rsidRDefault="00B23EA0" w:rsidP="00717513">
      <w:pPr>
        <w:spacing w:line="340" w:lineRule="exact"/>
        <w:jc w:val="both"/>
        <w:rPr>
          <w:rFonts w:ascii="Garamond" w:hAnsi="Garamond" w:cs="Times New Roman"/>
          <w:bCs/>
          <w:shd w:val="clear" w:color="auto" w:fill="FFFFFF"/>
        </w:rPr>
      </w:pPr>
    </w:p>
    <w:p w14:paraId="76B7DDF1" w14:textId="78EB9134" w:rsidR="00C64934" w:rsidRDefault="00C64934"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Constat d’un</w:t>
      </w:r>
      <w:r w:rsidR="00F64924">
        <w:rPr>
          <w:rFonts w:ascii="Garamond" w:hAnsi="Garamond" w:cs="Times New Roman"/>
          <w:bCs/>
          <w:shd w:val="clear" w:color="auto" w:fill="FFFFFF"/>
        </w:rPr>
        <w:t>e</w:t>
      </w:r>
      <w:r>
        <w:rPr>
          <w:rFonts w:ascii="Garamond" w:hAnsi="Garamond" w:cs="Times New Roman"/>
          <w:bCs/>
          <w:shd w:val="clear" w:color="auto" w:fill="FFFFFF"/>
        </w:rPr>
        <w:t xml:space="preserve"> violation de la Convention et satisfaction équitable sont les deux questions à résoudre</w:t>
      </w:r>
      <w:r w:rsidR="00F64924">
        <w:rPr>
          <w:rFonts w:ascii="Garamond" w:hAnsi="Garamond" w:cs="Times New Roman"/>
          <w:bCs/>
          <w:shd w:val="clear" w:color="auto" w:fill="FFFFFF"/>
        </w:rPr>
        <w:t xml:space="preserve"> par la Cour ; elles seules</w:t>
      </w:r>
      <w:r w:rsidR="000476AE">
        <w:rPr>
          <w:rFonts w:ascii="Garamond" w:hAnsi="Garamond" w:cs="Times New Roman"/>
          <w:bCs/>
          <w:shd w:val="clear" w:color="auto" w:fill="FFFFFF"/>
        </w:rPr>
        <w:t xml:space="preserve"> implique</w:t>
      </w:r>
      <w:r w:rsidR="00F64924">
        <w:rPr>
          <w:rFonts w:ascii="Garamond" w:hAnsi="Garamond" w:cs="Times New Roman"/>
          <w:bCs/>
          <w:shd w:val="clear" w:color="auto" w:fill="FFFFFF"/>
        </w:rPr>
        <w:t>nt</w:t>
      </w:r>
      <w:r w:rsidR="000476AE">
        <w:rPr>
          <w:rFonts w:ascii="Garamond" w:hAnsi="Garamond" w:cs="Times New Roman"/>
          <w:bCs/>
          <w:shd w:val="clear" w:color="auto" w:fill="FFFFFF"/>
        </w:rPr>
        <w:t xml:space="preserve"> une exécution de l</w:t>
      </w:r>
      <w:r w:rsidR="00B23EA0">
        <w:rPr>
          <w:rFonts w:ascii="Garamond" w:hAnsi="Garamond" w:cs="Times New Roman"/>
          <w:bCs/>
          <w:shd w:val="clear" w:color="auto" w:fill="FFFFFF"/>
        </w:rPr>
        <w:t>a part de l’</w:t>
      </w:r>
      <w:r w:rsidR="00F64924">
        <w:rPr>
          <w:rFonts w:ascii="Garamond" w:hAnsi="Garamond" w:cs="Times New Roman"/>
          <w:bCs/>
          <w:shd w:val="clear" w:color="auto" w:fill="FFFFFF"/>
        </w:rPr>
        <w:t>État</w:t>
      </w:r>
      <w:r w:rsidR="00B23EA0">
        <w:rPr>
          <w:rFonts w:ascii="Garamond" w:hAnsi="Garamond" w:cs="Times New Roman"/>
          <w:bCs/>
          <w:shd w:val="clear" w:color="auto" w:fill="FFFFFF"/>
        </w:rPr>
        <w:t xml:space="preserve"> condamné</w:t>
      </w:r>
      <w:r w:rsidR="006B4DCE">
        <w:rPr>
          <w:rFonts w:ascii="Garamond" w:hAnsi="Garamond" w:cs="Times New Roman"/>
          <w:bCs/>
          <w:shd w:val="clear" w:color="auto" w:fill="FFFFFF"/>
        </w:rPr>
        <w:t>, quelles que soient par ailleurs les modalités d’exécution qui s’imposent</w:t>
      </w:r>
      <w:r w:rsidR="000476AE">
        <w:rPr>
          <w:rFonts w:ascii="Garamond" w:hAnsi="Garamond" w:cs="Times New Roman"/>
          <w:bCs/>
          <w:shd w:val="clear" w:color="auto" w:fill="FFFFFF"/>
        </w:rPr>
        <w:t>.</w:t>
      </w:r>
    </w:p>
    <w:p w14:paraId="52295BF0" w14:textId="17B8F3CF" w:rsidR="00A23606" w:rsidRDefault="00A23606" w:rsidP="00717513">
      <w:pPr>
        <w:spacing w:line="340" w:lineRule="exact"/>
        <w:jc w:val="both"/>
        <w:rPr>
          <w:rFonts w:ascii="Garamond" w:hAnsi="Garamond" w:cs="Times New Roman"/>
          <w:bCs/>
          <w:shd w:val="clear" w:color="auto" w:fill="FFFFFF"/>
        </w:rPr>
      </w:pPr>
    </w:p>
    <w:p w14:paraId="6E2AA495" w14:textId="0E582E08" w:rsidR="00465145" w:rsidRDefault="007E73CD"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Cette réflexion mérit</w:t>
      </w:r>
      <w:r w:rsidR="00776412">
        <w:rPr>
          <w:rFonts w:ascii="Garamond" w:hAnsi="Garamond" w:cs="Times New Roman"/>
          <w:bCs/>
          <w:shd w:val="clear" w:color="auto" w:fill="FFFFFF"/>
        </w:rPr>
        <w:t xml:space="preserve">e encore d’être éclairée par les situations concrètes d’arrêts de la Cour dans lesquels les </w:t>
      </w:r>
      <w:r w:rsidR="00B23EA0">
        <w:rPr>
          <w:rFonts w:ascii="Garamond" w:hAnsi="Garamond" w:cs="Times New Roman"/>
          <w:bCs/>
          <w:shd w:val="clear" w:color="auto" w:fill="FFFFFF"/>
        </w:rPr>
        <w:t>États</w:t>
      </w:r>
      <w:r w:rsidR="00776412">
        <w:rPr>
          <w:rFonts w:ascii="Garamond" w:hAnsi="Garamond" w:cs="Times New Roman"/>
          <w:bCs/>
          <w:shd w:val="clear" w:color="auto" w:fill="FFFFFF"/>
        </w:rPr>
        <w:t xml:space="preserve"> sont parties</w:t>
      </w:r>
      <w:r w:rsidR="00915BA7">
        <w:rPr>
          <w:rFonts w:ascii="Garamond" w:hAnsi="Garamond" w:cs="Times New Roman"/>
          <w:bCs/>
          <w:shd w:val="clear" w:color="auto" w:fill="FFFFFF"/>
        </w:rPr>
        <w:t xml:space="preserve"> et, sans doute, </w:t>
      </w:r>
      <w:r w:rsidR="00F64924">
        <w:rPr>
          <w:rFonts w:ascii="Garamond" w:hAnsi="Garamond" w:cs="Times New Roman"/>
          <w:bCs/>
          <w:shd w:val="clear" w:color="auto" w:fill="FFFFFF"/>
        </w:rPr>
        <w:t>par</w:t>
      </w:r>
      <w:r w:rsidR="00915BA7">
        <w:rPr>
          <w:rFonts w:ascii="Garamond" w:hAnsi="Garamond" w:cs="Times New Roman"/>
          <w:bCs/>
          <w:shd w:val="clear" w:color="auto" w:fill="FFFFFF"/>
        </w:rPr>
        <w:t xml:space="preserve"> la question du lien </w:t>
      </w:r>
      <w:r w:rsidR="001B729F">
        <w:rPr>
          <w:rFonts w:ascii="Garamond" w:hAnsi="Garamond" w:cs="Times New Roman"/>
          <w:bCs/>
          <w:shd w:val="clear" w:color="auto" w:fill="FFFFFF"/>
        </w:rPr>
        <w:t>entre le dispositif et les motifs</w:t>
      </w:r>
      <w:r w:rsidR="00CA4037">
        <w:rPr>
          <w:rFonts w:ascii="Garamond" w:hAnsi="Garamond" w:cs="Times New Roman"/>
          <w:bCs/>
          <w:shd w:val="clear" w:color="auto" w:fill="FFFFFF"/>
        </w:rPr>
        <w:t>, c’est-à-dire</w:t>
      </w:r>
      <w:r w:rsidR="000403CC">
        <w:rPr>
          <w:rFonts w:ascii="Garamond" w:hAnsi="Garamond" w:cs="Times New Roman"/>
          <w:bCs/>
          <w:shd w:val="clear" w:color="auto" w:fill="FFFFFF"/>
        </w:rPr>
        <w:t xml:space="preserve"> à la recherche de ce qui dans le dispositif apparaît comme déterminant immédiatement et directement le constat de la violation de la Convention</w:t>
      </w:r>
      <w:r w:rsidR="00377590">
        <w:rPr>
          <w:rFonts w:ascii="Garamond" w:hAnsi="Garamond" w:cs="Times New Roman"/>
          <w:bCs/>
          <w:shd w:val="clear" w:color="auto" w:fill="FFFFFF"/>
        </w:rPr>
        <w:t xml:space="preserve"> de sorte que le respect de l’arrêt implique nécessairement de suivre les éléments </w:t>
      </w:r>
      <w:r w:rsidR="00F64924">
        <w:rPr>
          <w:rFonts w:ascii="Garamond" w:hAnsi="Garamond" w:cs="Times New Roman"/>
          <w:bCs/>
          <w:shd w:val="clear" w:color="auto" w:fill="FFFFFF"/>
        </w:rPr>
        <w:t xml:space="preserve">jurisprudentiels </w:t>
      </w:r>
      <w:r w:rsidR="00377590">
        <w:rPr>
          <w:rFonts w:ascii="Garamond" w:hAnsi="Garamond" w:cs="Times New Roman"/>
          <w:bCs/>
          <w:shd w:val="clear" w:color="auto" w:fill="FFFFFF"/>
        </w:rPr>
        <w:t>normatifs du dispositif</w:t>
      </w:r>
      <w:r w:rsidR="00776412">
        <w:rPr>
          <w:rFonts w:ascii="Garamond" w:hAnsi="Garamond" w:cs="Times New Roman"/>
          <w:bCs/>
          <w:shd w:val="clear" w:color="auto" w:fill="FFFFFF"/>
        </w:rPr>
        <w:t xml:space="preserve">. </w:t>
      </w:r>
    </w:p>
    <w:p w14:paraId="0841414F" w14:textId="77777777" w:rsidR="00465145" w:rsidRDefault="00465145" w:rsidP="00717513">
      <w:pPr>
        <w:spacing w:line="340" w:lineRule="exact"/>
        <w:jc w:val="both"/>
        <w:rPr>
          <w:rFonts w:ascii="Garamond" w:hAnsi="Garamond" w:cs="Times New Roman"/>
          <w:bCs/>
          <w:shd w:val="clear" w:color="auto" w:fill="FFFFFF"/>
        </w:rPr>
      </w:pPr>
    </w:p>
    <w:p w14:paraId="4FE02054" w14:textId="7B3176A6" w:rsidR="00776412" w:rsidRDefault="00776412"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En cas de constat de non</w:t>
      </w:r>
      <w:r w:rsidR="00177732">
        <w:rPr>
          <w:rFonts w:ascii="Garamond" w:hAnsi="Garamond" w:cs="Times New Roman"/>
          <w:bCs/>
          <w:shd w:val="clear" w:color="auto" w:fill="FFFFFF"/>
        </w:rPr>
        <w:t>-</w:t>
      </w:r>
      <w:r>
        <w:rPr>
          <w:rFonts w:ascii="Garamond" w:hAnsi="Garamond" w:cs="Times New Roman"/>
          <w:bCs/>
          <w:shd w:val="clear" w:color="auto" w:fill="FFFFFF"/>
        </w:rPr>
        <w:t xml:space="preserve">violation, la seule obligation à la charge des </w:t>
      </w:r>
      <w:r w:rsidR="00B23EA0">
        <w:rPr>
          <w:rFonts w:ascii="Garamond" w:hAnsi="Garamond" w:cs="Times New Roman"/>
          <w:bCs/>
          <w:shd w:val="clear" w:color="auto" w:fill="FFFFFF"/>
        </w:rPr>
        <w:t>États</w:t>
      </w:r>
      <w:r>
        <w:rPr>
          <w:rFonts w:ascii="Garamond" w:hAnsi="Garamond" w:cs="Times New Roman"/>
          <w:bCs/>
          <w:shd w:val="clear" w:color="auto" w:fill="FFFFFF"/>
        </w:rPr>
        <w:t>, déjà évoquée, consisterait à respecter les concrétisations normatives posées par la Cour dans l’arrêt, même si cette situation paraît pour le moins absurde</w:t>
      </w:r>
      <w:r w:rsidR="00DE3D5D">
        <w:rPr>
          <w:rFonts w:ascii="Garamond" w:hAnsi="Garamond" w:cs="Times New Roman"/>
          <w:bCs/>
          <w:shd w:val="clear" w:color="auto" w:fill="FFFFFF"/>
        </w:rPr>
        <w:t xml:space="preserve">. </w:t>
      </w:r>
      <w:r w:rsidR="00BD2268">
        <w:rPr>
          <w:rFonts w:ascii="Garamond" w:hAnsi="Garamond" w:cs="Times New Roman"/>
          <w:bCs/>
          <w:shd w:val="clear" w:color="auto" w:fill="FFFFFF"/>
        </w:rPr>
        <w:t xml:space="preserve">Dans cette situation, </w:t>
      </w:r>
      <w:r w:rsidR="006B4DCE">
        <w:rPr>
          <w:rFonts w:ascii="Garamond" w:hAnsi="Garamond" w:cs="Times New Roman"/>
          <w:bCs/>
          <w:shd w:val="clear" w:color="auto" w:fill="FFFFFF"/>
        </w:rPr>
        <w:t xml:space="preserve">cependant, </w:t>
      </w:r>
      <w:r w:rsidR="00BD2268">
        <w:rPr>
          <w:rFonts w:ascii="Garamond" w:hAnsi="Garamond" w:cs="Times New Roman"/>
          <w:bCs/>
          <w:shd w:val="clear" w:color="auto" w:fill="FFFFFF"/>
        </w:rPr>
        <w:t>il n’existe aucun lien entre le dispositif et les motifs de la décision dans le sens où le constat de la non violation n’implique aucun comportement particulier de la part de l’</w:t>
      </w:r>
      <w:r w:rsidR="00465145">
        <w:rPr>
          <w:rFonts w:ascii="Garamond" w:hAnsi="Garamond" w:cs="Times New Roman"/>
          <w:bCs/>
          <w:shd w:val="clear" w:color="auto" w:fill="FFFFFF"/>
        </w:rPr>
        <w:t>État</w:t>
      </w:r>
      <w:r w:rsidR="00BD2268">
        <w:rPr>
          <w:rFonts w:ascii="Garamond" w:hAnsi="Garamond" w:cs="Times New Roman"/>
          <w:bCs/>
          <w:shd w:val="clear" w:color="auto" w:fill="FFFFFF"/>
        </w:rPr>
        <w:t xml:space="preserve"> partie, puisque, précisément, que ce soit un comportement matériel qui soit visé, comme un mauvais traitement dans un commissariat, ou une norme, une loi qui pourrait être contraire aux exigences de la Convention, la régularité conventionnelle est constatée, </w:t>
      </w:r>
      <w:r w:rsidR="00465145">
        <w:rPr>
          <w:rFonts w:ascii="Garamond" w:hAnsi="Garamond" w:cs="Times New Roman"/>
          <w:bCs/>
          <w:shd w:val="clear" w:color="auto" w:fill="FFFFFF"/>
        </w:rPr>
        <w:t xml:space="preserve">ce qui n’oblige l’État à rien. L’obliger à respect les critères normatifs concrétisant l’exigence conventionnelle qui ont permis de constater qu’elle n’a pas été violée est, sous cet angle également, absurde. </w:t>
      </w:r>
      <w:r w:rsidR="00BD2268">
        <w:rPr>
          <w:rFonts w:ascii="Garamond" w:hAnsi="Garamond" w:cs="Times New Roman"/>
          <w:bCs/>
          <w:shd w:val="clear" w:color="auto" w:fill="FFFFFF"/>
        </w:rPr>
        <w:t xml:space="preserve"> </w:t>
      </w:r>
    </w:p>
    <w:p w14:paraId="053B9DCC" w14:textId="4A7318A3" w:rsidR="00BD2268" w:rsidRDefault="00BD2268" w:rsidP="00717513">
      <w:pPr>
        <w:spacing w:line="340" w:lineRule="exact"/>
        <w:jc w:val="both"/>
        <w:rPr>
          <w:rFonts w:ascii="Garamond" w:hAnsi="Garamond" w:cs="Times New Roman"/>
          <w:bCs/>
          <w:shd w:val="clear" w:color="auto" w:fill="FFFFFF"/>
        </w:rPr>
      </w:pPr>
    </w:p>
    <w:p w14:paraId="3C85141C" w14:textId="675B1994" w:rsidR="00465145" w:rsidRDefault="00465145"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 xml:space="preserve">En cas de constatation de violation, </w:t>
      </w:r>
      <w:r w:rsidR="0005480C">
        <w:rPr>
          <w:rFonts w:ascii="Garamond" w:hAnsi="Garamond" w:cs="Times New Roman"/>
          <w:bCs/>
          <w:shd w:val="clear" w:color="auto" w:fill="FFFFFF"/>
        </w:rPr>
        <w:t xml:space="preserve">plusieurs situations sont envisageables. Face à un comportement matériel à l’origine de la violation, </w:t>
      </w:r>
      <w:r w:rsidR="002354E6">
        <w:rPr>
          <w:rFonts w:ascii="Garamond" w:hAnsi="Garamond" w:cs="Times New Roman"/>
          <w:bCs/>
          <w:shd w:val="clear" w:color="auto" w:fill="FFFFFF"/>
        </w:rPr>
        <w:t>il n’y a</w:t>
      </w:r>
      <w:r w:rsidR="009A73A8">
        <w:rPr>
          <w:rFonts w:ascii="Garamond" w:hAnsi="Garamond" w:cs="Times New Roman"/>
          <w:bCs/>
          <w:shd w:val="clear" w:color="auto" w:fill="FFFFFF"/>
        </w:rPr>
        <w:t>,</w:t>
      </w:r>
      <w:r w:rsidR="002354E6">
        <w:rPr>
          <w:rFonts w:ascii="Garamond" w:hAnsi="Garamond" w:cs="Times New Roman"/>
          <w:bCs/>
          <w:shd w:val="clear" w:color="auto" w:fill="FFFFFF"/>
        </w:rPr>
        <w:t xml:space="preserve"> directement</w:t>
      </w:r>
      <w:r w:rsidR="009A73A8">
        <w:rPr>
          <w:rFonts w:ascii="Garamond" w:hAnsi="Garamond" w:cs="Times New Roman"/>
          <w:bCs/>
          <w:shd w:val="clear" w:color="auto" w:fill="FFFFFF"/>
        </w:rPr>
        <w:t>,</w:t>
      </w:r>
      <w:r w:rsidR="002354E6">
        <w:rPr>
          <w:rFonts w:ascii="Garamond" w:hAnsi="Garamond" w:cs="Times New Roman"/>
          <w:bCs/>
          <w:shd w:val="clear" w:color="auto" w:fill="FFFFFF"/>
        </w:rPr>
        <w:t xml:space="preserve"> rien qui ne peut être fait par </w:t>
      </w:r>
      <w:r w:rsidR="002354E6">
        <w:rPr>
          <w:rFonts w:ascii="Garamond" w:hAnsi="Garamond" w:cs="Times New Roman"/>
          <w:bCs/>
          <w:shd w:val="clear" w:color="auto" w:fill="FFFFFF"/>
        </w:rPr>
        <w:lastRenderedPageBreak/>
        <w:t xml:space="preserve">l’État en lien avec le constat de l’irrégularité. Il est possible cependant que la Cour suggère des moyens d’éviter que de tels comportements puissent se reproduire en préconisant, par exemple, un encadrement normatif spécifique. En l’absence d’habilitation de la Cour </w:t>
      </w:r>
      <w:r w:rsidR="006B4DCE">
        <w:rPr>
          <w:rFonts w:ascii="Garamond" w:hAnsi="Garamond" w:cs="Times New Roman"/>
          <w:bCs/>
          <w:shd w:val="clear" w:color="auto" w:fill="FFFFFF"/>
        </w:rPr>
        <w:t>pour</w:t>
      </w:r>
      <w:r w:rsidR="002354E6">
        <w:rPr>
          <w:rFonts w:ascii="Garamond" w:hAnsi="Garamond" w:cs="Times New Roman"/>
          <w:bCs/>
          <w:shd w:val="clear" w:color="auto" w:fill="FFFFFF"/>
        </w:rPr>
        <w:t xml:space="preserve"> imposer de tels éléments, l’on ne saurait y voir que des conseils généraux et non pas des obligations. Lorsque l’irrégularité est le résultat d’un conflit normatif, l’on peut voir une obligation de l’État</w:t>
      </w:r>
      <w:r w:rsidR="00CA34A1">
        <w:rPr>
          <w:rFonts w:ascii="Garamond" w:hAnsi="Garamond" w:cs="Times New Roman"/>
          <w:bCs/>
          <w:shd w:val="clear" w:color="auto" w:fill="FFFFFF"/>
        </w:rPr>
        <w:t xml:space="preserve"> de modifier la norme à l’origine du conflit, le dispositif, le constat de la violation, est la conséquence directe et immédiate des motifs, l’irrégularité de la loi. Cette obligation de modification ne semble pas forcément impliquer d’imposer le contenu de cette modification, sous réserve </w:t>
      </w:r>
      <w:r w:rsidR="007D2FB5">
        <w:rPr>
          <w:rFonts w:ascii="Garamond" w:hAnsi="Garamond" w:cs="Times New Roman"/>
          <w:bCs/>
          <w:shd w:val="clear" w:color="auto" w:fill="FFFFFF"/>
        </w:rPr>
        <w:t xml:space="preserve">de respecter les orientations éventuellement constructives émises par la Cour, ce qui doit être fait </w:t>
      </w:r>
      <w:r w:rsidR="00717513">
        <w:rPr>
          <w:rFonts w:ascii="Garamond" w:hAnsi="Garamond" w:cs="Times New Roman"/>
          <w:bCs/>
          <w:shd w:val="clear" w:color="auto" w:fill="FFFFFF"/>
        </w:rPr>
        <w:t xml:space="preserve">pour assurer la conformité </w:t>
      </w:r>
      <w:r w:rsidR="007D2FB5">
        <w:rPr>
          <w:rFonts w:ascii="Garamond" w:hAnsi="Garamond" w:cs="Times New Roman"/>
          <w:bCs/>
          <w:shd w:val="clear" w:color="auto" w:fill="FFFFFF"/>
        </w:rPr>
        <w:t>et non pas ce qui a été censuré, pour préserver la compatibilité de la nouvelle norme à la Convention.</w:t>
      </w:r>
      <w:r w:rsidR="00CA34A1">
        <w:rPr>
          <w:rFonts w:ascii="Garamond" w:hAnsi="Garamond" w:cs="Times New Roman"/>
          <w:bCs/>
          <w:shd w:val="clear" w:color="auto" w:fill="FFFFFF"/>
        </w:rPr>
        <w:t xml:space="preserve"> </w:t>
      </w:r>
      <w:r w:rsidR="00DA6DF5">
        <w:rPr>
          <w:rFonts w:ascii="Garamond" w:hAnsi="Garamond" w:cs="Times New Roman"/>
          <w:bCs/>
          <w:shd w:val="clear" w:color="auto" w:fill="FFFFFF"/>
        </w:rPr>
        <w:t>En tout état de cause, la concrétisation de l’exécution d’un arrêt passe par une phase extra-juridictionnelle faisant appel au Conseil des ministres</w:t>
      </w:r>
      <w:r w:rsidR="00933C9B">
        <w:rPr>
          <w:rFonts w:ascii="Garamond" w:hAnsi="Garamond" w:cs="Times New Roman"/>
          <w:bCs/>
          <w:shd w:val="clear" w:color="auto" w:fill="FFFFFF"/>
        </w:rPr>
        <w:t xml:space="preserve">, même si, </w:t>
      </w:r>
      <w:r w:rsidR="006B4DCE">
        <w:rPr>
          <w:rFonts w:ascii="Garamond" w:hAnsi="Garamond" w:cs="Times New Roman"/>
          <w:bCs/>
          <w:shd w:val="clear" w:color="auto" w:fill="FFFFFF"/>
        </w:rPr>
        <w:t>certes</w:t>
      </w:r>
      <w:r w:rsidR="00C5560E">
        <w:rPr>
          <w:rFonts w:ascii="Garamond" w:hAnsi="Garamond" w:cs="Times New Roman"/>
          <w:bCs/>
          <w:shd w:val="clear" w:color="auto" w:fill="FFFFFF"/>
        </w:rPr>
        <w:t xml:space="preserve">, </w:t>
      </w:r>
      <w:r w:rsidR="00933C9B">
        <w:rPr>
          <w:rFonts w:ascii="Garamond" w:hAnsi="Garamond" w:cs="Times New Roman"/>
          <w:bCs/>
          <w:shd w:val="clear" w:color="auto" w:fill="FFFFFF"/>
        </w:rPr>
        <w:t>depuis le protocole n°</w:t>
      </w:r>
      <w:r w:rsidR="006B4DCE">
        <w:rPr>
          <w:rFonts w:ascii="Garamond" w:hAnsi="Garamond" w:cs="Times New Roman"/>
          <w:bCs/>
          <w:shd w:val="clear" w:color="auto" w:fill="FFFFFF"/>
        </w:rPr>
        <w:t> </w:t>
      </w:r>
      <w:r w:rsidR="00933C9B">
        <w:rPr>
          <w:rFonts w:ascii="Garamond" w:hAnsi="Garamond" w:cs="Times New Roman"/>
          <w:bCs/>
          <w:shd w:val="clear" w:color="auto" w:fill="FFFFFF"/>
        </w:rPr>
        <w:t>14 à la Convention, la Cour participe à ce processus</w:t>
      </w:r>
      <w:r w:rsidR="00C5560E">
        <w:rPr>
          <w:rFonts w:ascii="Garamond" w:hAnsi="Garamond" w:cs="Times New Roman"/>
          <w:bCs/>
          <w:shd w:val="clear" w:color="auto" w:fill="FFFFFF"/>
        </w:rPr>
        <w:t>, sur saisine du Conseil</w:t>
      </w:r>
      <w:r w:rsidR="00933C9B">
        <w:rPr>
          <w:rFonts w:ascii="Garamond" w:hAnsi="Garamond" w:cs="Times New Roman"/>
          <w:bCs/>
          <w:shd w:val="clear" w:color="auto" w:fill="FFFFFF"/>
        </w:rPr>
        <w:t>.</w:t>
      </w:r>
    </w:p>
    <w:p w14:paraId="1F415A6D" w14:textId="77777777" w:rsidR="00D44E47" w:rsidRDefault="00D44E47" w:rsidP="00717513">
      <w:pPr>
        <w:spacing w:line="340" w:lineRule="exact"/>
        <w:jc w:val="both"/>
        <w:rPr>
          <w:rFonts w:ascii="Garamond" w:hAnsi="Garamond" w:cs="Times New Roman"/>
          <w:bCs/>
          <w:shd w:val="clear" w:color="auto" w:fill="FFFFFF"/>
        </w:rPr>
      </w:pPr>
    </w:p>
    <w:p w14:paraId="14172E7D" w14:textId="007020C3" w:rsidR="00AF235F" w:rsidRDefault="00AF235F" w:rsidP="00717513">
      <w:pPr>
        <w:spacing w:line="340" w:lineRule="exact"/>
        <w:jc w:val="both"/>
        <w:rPr>
          <w:rFonts w:ascii="Garamond" w:hAnsi="Garamond" w:cs="Times New Roman"/>
          <w:bCs/>
          <w:shd w:val="clear" w:color="auto" w:fill="FFFFFF"/>
        </w:rPr>
      </w:pPr>
      <w:r>
        <w:rPr>
          <w:rFonts w:ascii="Garamond" w:hAnsi="Garamond" w:cs="Times New Roman"/>
          <w:bCs/>
          <w:shd w:val="clear" w:color="auto" w:fill="FFFFFF"/>
        </w:rPr>
        <w:t>Si l’on tente de synthétiser ces développements, en éclairant la distinction structurante du colloque, l’on dira que l’application de Convention demeure autonome pour les États</w:t>
      </w:r>
      <w:r w:rsidR="00354BCA">
        <w:rPr>
          <w:rFonts w:ascii="Garamond" w:hAnsi="Garamond" w:cs="Times New Roman"/>
          <w:bCs/>
          <w:shd w:val="clear" w:color="auto" w:fill="FFFFFF"/>
        </w:rPr>
        <w:t>, sauf s’ils ont fait l’objet d’un arrêt de condamnation</w:t>
      </w:r>
      <w:r w:rsidR="008E030A">
        <w:rPr>
          <w:rFonts w:ascii="Garamond" w:hAnsi="Garamond" w:cs="Times New Roman"/>
          <w:bCs/>
          <w:shd w:val="clear" w:color="auto" w:fill="FFFFFF"/>
        </w:rPr>
        <w:t xml:space="preserve"> dans une affaire déterminée</w:t>
      </w:r>
      <w:r w:rsidR="00354BCA">
        <w:rPr>
          <w:rFonts w:ascii="Garamond" w:hAnsi="Garamond" w:cs="Times New Roman"/>
          <w:bCs/>
          <w:shd w:val="clear" w:color="auto" w:fill="FFFFFF"/>
        </w:rPr>
        <w:t>, auquel cas</w:t>
      </w:r>
      <w:r w:rsidR="00EB1BC9">
        <w:rPr>
          <w:rFonts w:ascii="Garamond" w:hAnsi="Garamond" w:cs="Times New Roman"/>
          <w:bCs/>
          <w:shd w:val="clear" w:color="auto" w:fill="FFFFFF"/>
        </w:rPr>
        <w:t>, ils doivent prendre les mesures exigées par le dispositif de l’arrêt, étant entendu que certaines des modalités concrètes de cette exécution, liées à la prise en compte des motifs, soit découlent nécessairement du dispositif sans discussion possible, soit, pour tout ce qui peut être discuté, seront déterminés par le Comité des ministres en discussion avec les États parties au litige.</w:t>
      </w:r>
    </w:p>
    <w:p w14:paraId="37DB3704" w14:textId="77777777" w:rsidR="00EB1BC9" w:rsidRDefault="00EB1BC9" w:rsidP="00717513">
      <w:pPr>
        <w:spacing w:line="340" w:lineRule="exact"/>
        <w:jc w:val="both"/>
        <w:rPr>
          <w:rFonts w:ascii="Garamond" w:hAnsi="Garamond" w:cs="Times New Roman"/>
          <w:bCs/>
          <w:shd w:val="clear" w:color="auto" w:fill="FFFFFF"/>
        </w:rPr>
      </w:pPr>
    </w:p>
    <w:p w14:paraId="05AF9DCC" w14:textId="77777777" w:rsidR="00C82582" w:rsidRPr="00F62D74" w:rsidRDefault="00C82582" w:rsidP="00717513">
      <w:pPr>
        <w:spacing w:line="340" w:lineRule="exact"/>
        <w:jc w:val="both"/>
        <w:rPr>
          <w:rFonts w:ascii="Garamond" w:hAnsi="Garamond" w:cs="Times New Roman"/>
          <w:bCs/>
          <w:shd w:val="clear" w:color="auto" w:fill="FFFFFF"/>
        </w:rPr>
      </w:pPr>
    </w:p>
    <w:sectPr w:rsidR="00C82582" w:rsidRPr="00F62D74" w:rsidSect="00DA6DF5">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6027" w14:textId="77777777" w:rsidR="00364696" w:rsidRDefault="00364696" w:rsidP="008910FA">
      <w:r>
        <w:separator/>
      </w:r>
    </w:p>
  </w:endnote>
  <w:endnote w:type="continuationSeparator" w:id="0">
    <w:p w14:paraId="608785A0" w14:textId="77777777" w:rsidR="00364696" w:rsidRDefault="00364696" w:rsidP="0089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4734" w14:textId="77777777" w:rsidR="00364696" w:rsidRDefault="00364696" w:rsidP="008910FA">
      <w:r>
        <w:separator/>
      </w:r>
    </w:p>
  </w:footnote>
  <w:footnote w:type="continuationSeparator" w:id="0">
    <w:p w14:paraId="1D1814C5" w14:textId="77777777" w:rsidR="00364696" w:rsidRDefault="00364696" w:rsidP="008910FA">
      <w:r>
        <w:continuationSeparator/>
      </w:r>
    </w:p>
  </w:footnote>
  <w:footnote w:id="1">
    <w:p w14:paraId="6A24867D" w14:textId="467C25F6" w:rsidR="008D0083" w:rsidRPr="000A458D" w:rsidRDefault="008D0083"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Pr="000A458D">
        <w:rPr>
          <w:rFonts w:ascii="Garamond" w:hAnsi="Garamond"/>
          <w:sz w:val="18"/>
          <w:szCs w:val="18"/>
        </w:rPr>
        <w:tab/>
        <w:t xml:space="preserve">Voir de manière détaillée sur cette question : </w:t>
      </w:r>
      <w:r w:rsidR="000A458D" w:rsidRPr="000A458D">
        <w:rPr>
          <w:rFonts w:ascii="Garamond" w:hAnsi="Garamond"/>
          <w:sz w:val="18"/>
          <w:szCs w:val="18"/>
        </w:rPr>
        <w:t xml:space="preserve">« Peut-il exister une </w:t>
      </w:r>
      <w:proofErr w:type="spellStart"/>
      <w:r w:rsidR="000A458D" w:rsidRPr="000A458D">
        <w:rPr>
          <w:rFonts w:ascii="Garamond" w:hAnsi="Garamond"/>
          <w:sz w:val="18"/>
          <w:szCs w:val="18"/>
        </w:rPr>
        <w:t>pluralite</w:t>
      </w:r>
      <w:proofErr w:type="spellEnd"/>
      <w:r w:rsidR="000A458D" w:rsidRPr="000A458D">
        <w:rPr>
          <w:rFonts w:ascii="Garamond" w:hAnsi="Garamond"/>
          <w:sz w:val="18"/>
          <w:szCs w:val="18"/>
        </w:rPr>
        <w:t xml:space="preserve">́ de fondements à la </w:t>
      </w:r>
      <w:proofErr w:type="spellStart"/>
      <w:r w:rsidR="000A458D" w:rsidRPr="000A458D">
        <w:rPr>
          <w:rFonts w:ascii="Garamond" w:hAnsi="Garamond"/>
          <w:sz w:val="18"/>
          <w:szCs w:val="18"/>
        </w:rPr>
        <w:t>primaute</w:t>
      </w:r>
      <w:proofErr w:type="spellEnd"/>
      <w:r w:rsidR="000A458D" w:rsidRPr="000A458D">
        <w:rPr>
          <w:rFonts w:ascii="Garamond" w:hAnsi="Garamond"/>
          <w:sz w:val="18"/>
          <w:szCs w:val="18"/>
        </w:rPr>
        <w:t xml:space="preserve">́ ? Ajouter au fondement </w:t>
      </w:r>
      <w:proofErr w:type="spellStart"/>
      <w:r w:rsidR="000A458D" w:rsidRPr="000A458D">
        <w:rPr>
          <w:rFonts w:ascii="Garamond" w:hAnsi="Garamond"/>
          <w:sz w:val="18"/>
          <w:szCs w:val="18"/>
        </w:rPr>
        <w:t>européen</w:t>
      </w:r>
      <w:proofErr w:type="spellEnd"/>
      <w:r w:rsidR="000A458D" w:rsidRPr="000A458D">
        <w:rPr>
          <w:rFonts w:ascii="Garamond" w:hAnsi="Garamond"/>
          <w:sz w:val="18"/>
          <w:szCs w:val="18"/>
        </w:rPr>
        <w:t xml:space="preserve"> des fondements nationaux. D’une impossible résolution normative au relativisme des différentes réponses théoriques », in </w:t>
      </w:r>
      <w:r w:rsidR="000A458D" w:rsidRPr="000A458D">
        <w:rPr>
          <w:rFonts w:ascii="Garamond" w:hAnsi="Garamond"/>
          <w:i/>
          <w:iCs/>
          <w:sz w:val="18"/>
          <w:szCs w:val="18"/>
        </w:rPr>
        <w:t>Réseau de normes, réseau de juridictions. Le nouveau paradigme des droits fondamentaux en Europe, entre primauté et clause la plus protectrice</w:t>
      </w:r>
      <w:r w:rsidR="000A458D" w:rsidRPr="000A458D">
        <w:rPr>
          <w:rFonts w:ascii="Garamond" w:hAnsi="Garamond"/>
          <w:sz w:val="18"/>
          <w:szCs w:val="18"/>
        </w:rPr>
        <w:t>, sous la direction d’H. Gaudin, Mare &amp; Martin, Horizons européens, 2021, pp. 261-275.</w:t>
      </w:r>
    </w:p>
  </w:footnote>
  <w:footnote w:id="2">
    <w:p w14:paraId="17084419" w14:textId="036BE0A7" w:rsidR="00ED0036" w:rsidRPr="000A458D" w:rsidRDefault="00ED0036"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007A525C" w:rsidRPr="000A458D">
        <w:rPr>
          <w:rFonts w:ascii="Garamond" w:hAnsi="Garamond"/>
          <w:sz w:val="18"/>
          <w:szCs w:val="18"/>
        </w:rPr>
        <w:tab/>
        <w:t xml:space="preserve">CJCE, 15 juillet 1964, </w:t>
      </w:r>
      <w:proofErr w:type="spellStart"/>
      <w:r w:rsidR="007A525C" w:rsidRPr="000A458D">
        <w:rPr>
          <w:rFonts w:ascii="Garamond" w:hAnsi="Garamond"/>
          <w:i/>
          <w:sz w:val="18"/>
          <w:szCs w:val="18"/>
        </w:rPr>
        <w:t>Flaminio</w:t>
      </w:r>
      <w:proofErr w:type="spellEnd"/>
      <w:r w:rsidR="007A525C" w:rsidRPr="000A458D">
        <w:rPr>
          <w:rFonts w:ascii="Garamond" w:hAnsi="Garamond"/>
          <w:i/>
          <w:sz w:val="18"/>
          <w:szCs w:val="18"/>
        </w:rPr>
        <w:t xml:space="preserve"> Costa c. E.N.E.L.</w:t>
      </w:r>
      <w:r w:rsidR="007A525C" w:rsidRPr="000A458D">
        <w:rPr>
          <w:rFonts w:ascii="Garamond" w:hAnsi="Garamond"/>
          <w:sz w:val="18"/>
          <w:szCs w:val="18"/>
        </w:rPr>
        <w:t xml:space="preserve">, Aff. 6/64, </w:t>
      </w:r>
      <w:r w:rsidR="007A525C" w:rsidRPr="000A458D">
        <w:rPr>
          <w:rFonts w:ascii="Garamond" w:hAnsi="Garamond"/>
          <w:i/>
          <w:sz w:val="18"/>
          <w:szCs w:val="18"/>
        </w:rPr>
        <w:t>Rec.</w:t>
      </w:r>
      <w:r w:rsidR="007A525C" w:rsidRPr="000A458D">
        <w:rPr>
          <w:rFonts w:ascii="Garamond" w:hAnsi="Garamond"/>
          <w:sz w:val="18"/>
          <w:szCs w:val="18"/>
        </w:rPr>
        <w:t>, p. 1149.</w:t>
      </w:r>
    </w:p>
  </w:footnote>
  <w:footnote w:id="3">
    <w:p w14:paraId="6208588F" w14:textId="21A57284" w:rsidR="00ED0036" w:rsidRPr="000A458D" w:rsidRDefault="00ED0036"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007A525C" w:rsidRPr="000A458D">
        <w:rPr>
          <w:rFonts w:ascii="Garamond" w:hAnsi="Garamond"/>
          <w:sz w:val="18"/>
          <w:szCs w:val="18"/>
        </w:rPr>
        <w:tab/>
        <w:t xml:space="preserve">CJCE, 9 mars 1978, </w:t>
      </w:r>
      <w:r w:rsidR="007A525C" w:rsidRPr="000A458D">
        <w:rPr>
          <w:rFonts w:ascii="Garamond" w:hAnsi="Garamond"/>
          <w:i/>
          <w:iCs/>
          <w:sz w:val="18"/>
          <w:szCs w:val="18"/>
        </w:rPr>
        <w:t>Simmenthal,</w:t>
      </w:r>
      <w:r w:rsidR="007A525C" w:rsidRPr="000A458D">
        <w:rPr>
          <w:rFonts w:ascii="Garamond" w:hAnsi="Garamond"/>
          <w:sz w:val="18"/>
          <w:szCs w:val="18"/>
        </w:rPr>
        <w:t xml:space="preserve"> Aff. 106/77, Rec., 1978, p. 629.</w:t>
      </w:r>
    </w:p>
  </w:footnote>
  <w:footnote w:id="4">
    <w:p w14:paraId="3A99B553" w14:textId="377B743D" w:rsidR="00EF0BD9" w:rsidRPr="000A458D" w:rsidRDefault="00EF0BD9"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Pr="000A458D">
        <w:rPr>
          <w:rFonts w:ascii="Garamond" w:hAnsi="Garamond"/>
          <w:sz w:val="18"/>
          <w:szCs w:val="18"/>
        </w:rPr>
        <w:tab/>
        <w:t>Selon la signification retenue par la doctrine italienne</w:t>
      </w:r>
      <w:r w:rsidR="00F63F00" w:rsidRPr="000A458D">
        <w:rPr>
          <w:rFonts w:ascii="Garamond" w:hAnsi="Garamond"/>
          <w:sz w:val="18"/>
          <w:szCs w:val="18"/>
        </w:rPr>
        <w:t>, l’expression de « </w:t>
      </w:r>
      <w:proofErr w:type="spellStart"/>
      <w:r w:rsidR="00F63F00" w:rsidRPr="000A458D">
        <w:rPr>
          <w:rFonts w:ascii="Garamond" w:hAnsi="Garamond"/>
          <w:i/>
          <w:sz w:val="18"/>
          <w:szCs w:val="18"/>
        </w:rPr>
        <w:t>controlimitazioni</w:t>
      </w:r>
      <w:proofErr w:type="spellEnd"/>
      <w:r w:rsidR="00F63F00" w:rsidRPr="000A458D">
        <w:rPr>
          <w:rFonts w:ascii="Garamond" w:hAnsi="Garamond"/>
          <w:sz w:val="18"/>
          <w:szCs w:val="18"/>
        </w:rPr>
        <w:t xml:space="preserve"> » a été utilisée pour la première fois par P. </w:t>
      </w:r>
      <w:proofErr w:type="spellStart"/>
      <w:r w:rsidR="00F63F00" w:rsidRPr="000A458D">
        <w:rPr>
          <w:rFonts w:ascii="Garamond" w:hAnsi="Garamond"/>
          <w:sz w:val="18"/>
          <w:szCs w:val="18"/>
        </w:rPr>
        <w:t>Barile</w:t>
      </w:r>
      <w:proofErr w:type="spellEnd"/>
      <w:r w:rsidR="00F63F00" w:rsidRPr="000A458D">
        <w:rPr>
          <w:rFonts w:ascii="Garamond" w:hAnsi="Garamond"/>
          <w:sz w:val="18"/>
          <w:szCs w:val="18"/>
        </w:rPr>
        <w:t xml:space="preserve"> (« </w:t>
      </w:r>
      <w:r w:rsidR="00F63F00" w:rsidRPr="000A458D">
        <w:rPr>
          <w:rFonts w:ascii="Garamond" w:hAnsi="Garamond"/>
          <w:i/>
          <w:sz w:val="18"/>
          <w:szCs w:val="18"/>
        </w:rPr>
        <w:t xml:space="preserve">Il </w:t>
      </w:r>
      <w:proofErr w:type="spellStart"/>
      <w:r w:rsidR="00F63F00" w:rsidRPr="000A458D">
        <w:rPr>
          <w:rFonts w:ascii="Garamond" w:hAnsi="Garamond"/>
          <w:i/>
          <w:sz w:val="18"/>
          <w:szCs w:val="18"/>
        </w:rPr>
        <w:t>cammino</w:t>
      </w:r>
      <w:proofErr w:type="spellEnd"/>
      <w:r w:rsidR="00F63F00" w:rsidRPr="000A458D">
        <w:rPr>
          <w:rFonts w:ascii="Garamond" w:hAnsi="Garamond"/>
          <w:i/>
          <w:sz w:val="18"/>
          <w:szCs w:val="18"/>
        </w:rPr>
        <w:t xml:space="preserve"> </w:t>
      </w:r>
      <w:proofErr w:type="spellStart"/>
      <w:r w:rsidR="00F63F00" w:rsidRPr="000A458D">
        <w:rPr>
          <w:rFonts w:ascii="Garamond" w:hAnsi="Garamond"/>
          <w:i/>
          <w:sz w:val="18"/>
          <w:szCs w:val="18"/>
        </w:rPr>
        <w:t>comunitario</w:t>
      </w:r>
      <w:proofErr w:type="spellEnd"/>
      <w:r w:rsidR="00F63F00" w:rsidRPr="000A458D">
        <w:rPr>
          <w:rFonts w:ascii="Garamond" w:hAnsi="Garamond"/>
          <w:i/>
          <w:sz w:val="18"/>
          <w:szCs w:val="18"/>
        </w:rPr>
        <w:t xml:space="preserve"> </w:t>
      </w:r>
      <w:proofErr w:type="spellStart"/>
      <w:r w:rsidR="00F63F00" w:rsidRPr="000A458D">
        <w:rPr>
          <w:rFonts w:ascii="Garamond" w:hAnsi="Garamond"/>
          <w:i/>
          <w:sz w:val="18"/>
          <w:szCs w:val="18"/>
        </w:rPr>
        <w:t>della</w:t>
      </w:r>
      <w:proofErr w:type="spellEnd"/>
      <w:r w:rsidR="00F63F00" w:rsidRPr="000A458D">
        <w:rPr>
          <w:rFonts w:ascii="Garamond" w:hAnsi="Garamond"/>
          <w:i/>
          <w:sz w:val="18"/>
          <w:szCs w:val="18"/>
        </w:rPr>
        <w:t xml:space="preserve"> Corte</w:t>
      </w:r>
      <w:r w:rsidR="00F63F00" w:rsidRPr="000A458D">
        <w:rPr>
          <w:rFonts w:ascii="Garamond" w:hAnsi="Garamond"/>
          <w:sz w:val="18"/>
          <w:szCs w:val="18"/>
        </w:rPr>
        <w:t xml:space="preserve"> », </w:t>
      </w:r>
      <w:proofErr w:type="spellStart"/>
      <w:r w:rsidR="00F63F00" w:rsidRPr="000A458D">
        <w:rPr>
          <w:rFonts w:ascii="Garamond" w:hAnsi="Garamond"/>
          <w:i/>
          <w:sz w:val="18"/>
          <w:szCs w:val="18"/>
        </w:rPr>
        <w:t>Giur</w:t>
      </w:r>
      <w:proofErr w:type="spellEnd"/>
      <w:r w:rsidR="00F63F00" w:rsidRPr="000A458D">
        <w:rPr>
          <w:rFonts w:ascii="Garamond" w:hAnsi="Garamond"/>
          <w:i/>
          <w:sz w:val="18"/>
          <w:szCs w:val="18"/>
        </w:rPr>
        <w:t xml:space="preserve">. </w:t>
      </w:r>
      <w:proofErr w:type="spellStart"/>
      <w:r w:rsidR="00F63F00" w:rsidRPr="000A458D">
        <w:rPr>
          <w:rFonts w:ascii="Garamond" w:hAnsi="Garamond"/>
          <w:i/>
          <w:sz w:val="18"/>
          <w:szCs w:val="18"/>
        </w:rPr>
        <w:t>cost</w:t>
      </w:r>
      <w:proofErr w:type="spellEnd"/>
      <w:r w:rsidR="00F63F00" w:rsidRPr="000A458D">
        <w:rPr>
          <w:rFonts w:ascii="Garamond" w:hAnsi="Garamond"/>
          <w:i/>
          <w:sz w:val="18"/>
          <w:szCs w:val="18"/>
        </w:rPr>
        <w:t>.</w:t>
      </w:r>
      <w:r w:rsidR="00F63F00" w:rsidRPr="000A458D">
        <w:rPr>
          <w:rFonts w:ascii="Garamond" w:hAnsi="Garamond"/>
          <w:sz w:val="18"/>
          <w:szCs w:val="18"/>
        </w:rPr>
        <w:t>, 1973, p. 2416).</w:t>
      </w:r>
      <w:r w:rsidRPr="000A458D">
        <w:rPr>
          <w:rFonts w:ascii="Garamond" w:hAnsi="Garamond"/>
          <w:sz w:val="18"/>
          <w:szCs w:val="18"/>
        </w:rPr>
        <w:t xml:space="preserve"> Si l’adhésion de l’Italie </w:t>
      </w:r>
      <w:r w:rsidR="00312A5E" w:rsidRPr="000A458D">
        <w:rPr>
          <w:rFonts w:ascii="Garamond" w:hAnsi="Garamond"/>
          <w:sz w:val="18"/>
          <w:szCs w:val="18"/>
        </w:rPr>
        <w:t xml:space="preserve">aux traités institutifs du droit de l’Union représente une limite à la souveraineté de l’État (tout en étant l’expression), l’affirmation de la sanction du respect par la Cour constitutionnelle des principes fondamentaux de l’ordre juridique et les droits inaliénables de la personne humaine à l’encontre du droit de l’Union est une limite à la limite et donc une </w:t>
      </w:r>
      <w:proofErr w:type="spellStart"/>
      <w:r w:rsidR="00312A5E" w:rsidRPr="000A458D">
        <w:rPr>
          <w:rFonts w:ascii="Garamond" w:hAnsi="Garamond"/>
          <w:i/>
          <w:iCs/>
          <w:sz w:val="18"/>
          <w:szCs w:val="18"/>
        </w:rPr>
        <w:t>contrelimite</w:t>
      </w:r>
      <w:proofErr w:type="spellEnd"/>
      <w:r w:rsidR="00312A5E" w:rsidRPr="000A458D">
        <w:rPr>
          <w:rFonts w:ascii="Garamond" w:hAnsi="Garamond"/>
          <w:sz w:val="18"/>
          <w:szCs w:val="18"/>
        </w:rPr>
        <w:t xml:space="preserve">. </w:t>
      </w:r>
    </w:p>
  </w:footnote>
  <w:footnote w:id="5">
    <w:p w14:paraId="3B366D7C" w14:textId="4242ED29" w:rsidR="006760FE" w:rsidRPr="000A458D" w:rsidRDefault="006760FE"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Pr="000A458D">
        <w:rPr>
          <w:rFonts w:ascii="Garamond" w:hAnsi="Garamond"/>
          <w:sz w:val="18"/>
          <w:szCs w:val="18"/>
        </w:rPr>
        <w:tab/>
        <w:t xml:space="preserve">Au sein desquelles il est possible d’ajouter l’exigence d’une protection équivalente en droit de l’Union des droits fondamentaux qui conditionne l’incompétence de la Cour constitutionnelle allemande en particulier pour contrôler la constitutionnalité du droit de l’Union. Par ailleurs, et comme il en sera fait état dans les lignes qui suivent dans le corps de texte, le respect de l’identité des États peut être également être considéré, aujourd’hui, comme une </w:t>
      </w:r>
      <w:proofErr w:type="spellStart"/>
      <w:r w:rsidRPr="000A458D">
        <w:rPr>
          <w:rFonts w:ascii="Garamond" w:hAnsi="Garamond"/>
          <w:sz w:val="18"/>
          <w:szCs w:val="18"/>
        </w:rPr>
        <w:t>contrelimite</w:t>
      </w:r>
      <w:proofErr w:type="spellEnd"/>
      <w:r w:rsidRPr="000A458D">
        <w:rPr>
          <w:rFonts w:ascii="Garamond" w:hAnsi="Garamond"/>
          <w:sz w:val="18"/>
          <w:szCs w:val="18"/>
        </w:rPr>
        <w:t>.</w:t>
      </w:r>
    </w:p>
  </w:footnote>
  <w:footnote w:id="6">
    <w:p w14:paraId="317A25CA" w14:textId="5371360F" w:rsidR="00FD74D8" w:rsidRPr="000A458D" w:rsidRDefault="00FD74D8"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Pr="000A458D">
        <w:rPr>
          <w:rFonts w:ascii="Garamond" w:hAnsi="Garamond"/>
          <w:sz w:val="18"/>
          <w:szCs w:val="18"/>
        </w:rPr>
        <w:tab/>
      </w:r>
      <w:r w:rsidR="00592112" w:rsidRPr="000A458D">
        <w:rPr>
          <w:rFonts w:ascii="Garamond" w:hAnsi="Garamond"/>
          <w:sz w:val="18"/>
          <w:szCs w:val="18"/>
        </w:rPr>
        <w:t xml:space="preserve">CE, </w:t>
      </w:r>
      <w:proofErr w:type="spellStart"/>
      <w:r w:rsidR="00592112" w:rsidRPr="000A458D">
        <w:rPr>
          <w:rFonts w:ascii="Garamond" w:hAnsi="Garamond"/>
          <w:sz w:val="18"/>
          <w:szCs w:val="18"/>
        </w:rPr>
        <w:t>Ass</w:t>
      </w:r>
      <w:proofErr w:type="spellEnd"/>
      <w:r w:rsidR="00592112" w:rsidRPr="000A458D">
        <w:rPr>
          <w:rFonts w:ascii="Garamond" w:hAnsi="Garamond"/>
          <w:sz w:val="18"/>
          <w:szCs w:val="18"/>
        </w:rPr>
        <w:t xml:space="preserve">., 20 octobre 1989, </w:t>
      </w:r>
      <w:proofErr w:type="spellStart"/>
      <w:r w:rsidR="00592112" w:rsidRPr="000A458D">
        <w:rPr>
          <w:rFonts w:ascii="Garamond" w:hAnsi="Garamond"/>
          <w:i/>
          <w:sz w:val="18"/>
          <w:szCs w:val="18"/>
        </w:rPr>
        <w:t>Nicolo</w:t>
      </w:r>
      <w:proofErr w:type="spellEnd"/>
      <w:r w:rsidR="00592112" w:rsidRPr="000A458D">
        <w:rPr>
          <w:rFonts w:ascii="Garamond" w:hAnsi="Garamond"/>
          <w:sz w:val="18"/>
          <w:szCs w:val="18"/>
        </w:rPr>
        <w:t xml:space="preserve">, </w:t>
      </w:r>
      <w:proofErr w:type="spellStart"/>
      <w:r w:rsidR="00592112" w:rsidRPr="000A458D">
        <w:rPr>
          <w:rFonts w:ascii="Garamond" w:hAnsi="Garamond"/>
          <w:i/>
          <w:sz w:val="18"/>
          <w:szCs w:val="18"/>
        </w:rPr>
        <w:t>Leb</w:t>
      </w:r>
      <w:proofErr w:type="spellEnd"/>
      <w:r w:rsidR="00592112" w:rsidRPr="000A458D">
        <w:rPr>
          <w:rFonts w:ascii="Garamond" w:hAnsi="Garamond"/>
          <w:i/>
          <w:sz w:val="18"/>
          <w:szCs w:val="18"/>
        </w:rPr>
        <w:t>.</w:t>
      </w:r>
      <w:r w:rsidR="00592112" w:rsidRPr="000A458D">
        <w:rPr>
          <w:rFonts w:ascii="Garamond" w:hAnsi="Garamond"/>
          <w:sz w:val="18"/>
          <w:szCs w:val="18"/>
        </w:rPr>
        <w:t xml:space="preserve">, p. 190 ; C. </w:t>
      </w:r>
      <w:proofErr w:type="spellStart"/>
      <w:r w:rsidR="00592112" w:rsidRPr="000A458D">
        <w:rPr>
          <w:rFonts w:ascii="Garamond" w:hAnsi="Garamond"/>
          <w:sz w:val="18"/>
          <w:szCs w:val="18"/>
        </w:rPr>
        <w:t>cass</w:t>
      </w:r>
      <w:proofErr w:type="spellEnd"/>
      <w:r w:rsidR="00592112" w:rsidRPr="000A458D">
        <w:rPr>
          <w:rFonts w:ascii="Garamond" w:hAnsi="Garamond"/>
          <w:sz w:val="18"/>
          <w:szCs w:val="18"/>
        </w:rPr>
        <w:t xml:space="preserve">., ch. mixte, 24 mai 1975, </w:t>
      </w:r>
      <w:r w:rsidR="00592112" w:rsidRPr="000A458D">
        <w:rPr>
          <w:rFonts w:ascii="Garamond" w:hAnsi="Garamond"/>
          <w:i/>
          <w:sz w:val="18"/>
          <w:szCs w:val="18"/>
        </w:rPr>
        <w:t>Administration des douanes c. Société « Cafés Jacques Vabre »,</w:t>
      </w:r>
      <w:r w:rsidR="00592112" w:rsidRPr="000A458D">
        <w:rPr>
          <w:rFonts w:ascii="Garamond" w:hAnsi="Garamond"/>
          <w:sz w:val="18"/>
          <w:szCs w:val="18"/>
        </w:rPr>
        <w:t xml:space="preserve"> </w:t>
      </w:r>
      <w:r w:rsidR="00592112" w:rsidRPr="000A458D">
        <w:rPr>
          <w:rFonts w:ascii="Garamond" w:hAnsi="Garamond"/>
          <w:i/>
          <w:sz w:val="18"/>
          <w:szCs w:val="18"/>
        </w:rPr>
        <w:t>Bull. des arrêts Cour de Cassation Chambre Mixte, n° 4, p. 6</w:t>
      </w:r>
      <w:r w:rsidR="00592112" w:rsidRPr="000A458D">
        <w:rPr>
          <w:rFonts w:ascii="Garamond" w:hAnsi="Garamond"/>
          <w:sz w:val="18"/>
          <w:szCs w:val="18"/>
        </w:rPr>
        <w:t>.</w:t>
      </w:r>
    </w:p>
  </w:footnote>
  <w:footnote w:id="7">
    <w:p w14:paraId="19D20382" w14:textId="615DB260" w:rsidR="008D0083" w:rsidRPr="000A458D" w:rsidRDefault="008D0083"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Pr="000A458D">
        <w:rPr>
          <w:rFonts w:ascii="Garamond" w:hAnsi="Garamond"/>
          <w:sz w:val="18"/>
          <w:szCs w:val="18"/>
        </w:rPr>
        <w:tab/>
        <w:t>Voir sur ce point, avec B. Bonnet,</w:t>
      </w:r>
      <w:r w:rsidR="00F63F00" w:rsidRPr="000A458D">
        <w:rPr>
          <w:rFonts w:ascii="Garamond" w:hAnsi="Garamond"/>
          <w:sz w:val="18"/>
          <w:szCs w:val="18"/>
        </w:rPr>
        <w:t xml:space="preserve"> « La concrétisation des exigences supranationales dans l’ordre juridique interne : entre habilitations supranationales et nationales », in </w:t>
      </w:r>
      <w:r w:rsidR="00F63F00" w:rsidRPr="000A458D">
        <w:rPr>
          <w:rFonts w:ascii="Garamond" w:hAnsi="Garamond"/>
          <w:i/>
          <w:iCs/>
          <w:sz w:val="18"/>
          <w:szCs w:val="18"/>
        </w:rPr>
        <w:t>L’office du juge constitutionnel face aux exigences supranationales (</w:t>
      </w:r>
      <w:proofErr w:type="spellStart"/>
      <w:r w:rsidR="00F63F00" w:rsidRPr="000A458D">
        <w:rPr>
          <w:rFonts w:ascii="Garamond" w:hAnsi="Garamond"/>
          <w:i/>
          <w:iCs/>
          <w:sz w:val="18"/>
          <w:szCs w:val="18"/>
        </w:rPr>
        <w:t>QsQ</w:t>
      </w:r>
      <w:proofErr w:type="spellEnd"/>
      <w:r w:rsidR="00F63F00" w:rsidRPr="000A458D">
        <w:rPr>
          <w:rFonts w:ascii="Garamond" w:hAnsi="Garamond"/>
          <w:i/>
          <w:iCs/>
          <w:sz w:val="18"/>
          <w:szCs w:val="18"/>
        </w:rPr>
        <w:t xml:space="preserve"> IV)</w:t>
      </w:r>
      <w:r w:rsidR="00F63F00" w:rsidRPr="000A458D">
        <w:rPr>
          <w:rFonts w:ascii="Garamond" w:hAnsi="Garamond"/>
          <w:sz w:val="18"/>
          <w:szCs w:val="18"/>
        </w:rPr>
        <w:t xml:space="preserve">, sous la direction de X. </w:t>
      </w:r>
      <w:proofErr w:type="spellStart"/>
      <w:r w:rsidR="00F63F00" w:rsidRPr="000A458D">
        <w:rPr>
          <w:rFonts w:ascii="Garamond" w:hAnsi="Garamond"/>
          <w:sz w:val="18"/>
          <w:szCs w:val="18"/>
        </w:rPr>
        <w:t>Magnon</w:t>
      </w:r>
      <w:proofErr w:type="spellEnd"/>
      <w:r w:rsidR="00F63F00" w:rsidRPr="000A458D">
        <w:rPr>
          <w:rFonts w:ascii="Garamond" w:hAnsi="Garamond"/>
          <w:sz w:val="18"/>
          <w:szCs w:val="18"/>
        </w:rPr>
        <w:t xml:space="preserve">, P. </w:t>
      </w:r>
      <w:proofErr w:type="spellStart"/>
      <w:r w:rsidR="00F63F00" w:rsidRPr="000A458D">
        <w:rPr>
          <w:rFonts w:ascii="Garamond" w:hAnsi="Garamond"/>
          <w:sz w:val="18"/>
          <w:szCs w:val="18"/>
        </w:rPr>
        <w:t>Esplugas</w:t>
      </w:r>
      <w:proofErr w:type="spellEnd"/>
      <w:r w:rsidR="00F63F00" w:rsidRPr="000A458D">
        <w:rPr>
          <w:rFonts w:ascii="Garamond" w:hAnsi="Garamond"/>
          <w:sz w:val="18"/>
          <w:szCs w:val="18"/>
        </w:rPr>
        <w:t xml:space="preserve">, W. </w:t>
      </w:r>
      <w:proofErr w:type="spellStart"/>
      <w:r w:rsidR="00F63F00" w:rsidRPr="000A458D">
        <w:rPr>
          <w:rFonts w:ascii="Garamond" w:hAnsi="Garamond"/>
          <w:sz w:val="18"/>
          <w:szCs w:val="18"/>
        </w:rPr>
        <w:t>Mastor</w:t>
      </w:r>
      <w:proofErr w:type="spellEnd"/>
      <w:r w:rsidR="00F63F00" w:rsidRPr="000A458D">
        <w:rPr>
          <w:rFonts w:ascii="Garamond" w:hAnsi="Garamond"/>
          <w:sz w:val="18"/>
          <w:szCs w:val="18"/>
        </w:rPr>
        <w:t xml:space="preserve"> et S. Mouton, Bruylant, Coll. A la croisée des droits, 2015, pp. 233-277.</w:t>
      </w:r>
    </w:p>
  </w:footnote>
  <w:footnote w:id="8">
    <w:p w14:paraId="276D4BB0" w14:textId="46C9FB51" w:rsidR="001A5A80" w:rsidRPr="001A5A80" w:rsidRDefault="001A5A80" w:rsidP="001A5A80">
      <w:pPr>
        <w:pStyle w:val="Notedebasdepage"/>
        <w:spacing w:before="120"/>
        <w:ind w:left="567" w:hanging="567"/>
        <w:jc w:val="both"/>
        <w:rPr>
          <w:rFonts w:ascii="Garamond" w:hAnsi="Garamond"/>
          <w:sz w:val="18"/>
          <w:szCs w:val="18"/>
        </w:rPr>
      </w:pPr>
      <w:r w:rsidRPr="001A5A80">
        <w:rPr>
          <w:rStyle w:val="Appelnotedebasdep"/>
          <w:rFonts w:ascii="Garamond" w:hAnsi="Garamond"/>
          <w:sz w:val="18"/>
          <w:szCs w:val="18"/>
        </w:rPr>
        <w:footnoteRef/>
      </w:r>
      <w:r w:rsidRPr="001A5A80">
        <w:rPr>
          <w:rFonts w:ascii="Garamond" w:hAnsi="Garamond"/>
          <w:sz w:val="18"/>
          <w:szCs w:val="18"/>
        </w:rPr>
        <w:t xml:space="preserve"> </w:t>
      </w:r>
      <w:r w:rsidRPr="001A5A80">
        <w:rPr>
          <w:rFonts w:ascii="Garamond" w:hAnsi="Garamond"/>
          <w:sz w:val="18"/>
          <w:szCs w:val="18"/>
        </w:rPr>
        <w:tab/>
        <w:t>Voir sur cette question la contribution de R. Déchaux dans cet ouvrage et les références bibliographiques qu’il mobilise.</w:t>
      </w:r>
    </w:p>
  </w:footnote>
  <w:footnote w:id="9">
    <w:p w14:paraId="749CBFD4" w14:textId="52F94304" w:rsidR="00FD74D8" w:rsidRPr="000A458D" w:rsidRDefault="00FD74D8"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00592112" w:rsidRPr="000A458D">
        <w:rPr>
          <w:rFonts w:ascii="Garamond" w:hAnsi="Garamond"/>
          <w:sz w:val="18"/>
          <w:szCs w:val="18"/>
        </w:rPr>
        <w:tab/>
      </w:r>
      <w:r w:rsidR="00F63F00" w:rsidRPr="000A458D">
        <w:rPr>
          <w:rFonts w:ascii="Garamond" w:hAnsi="Garamond"/>
          <w:sz w:val="18"/>
          <w:szCs w:val="18"/>
        </w:rPr>
        <w:t xml:space="preserve">CC, 2004-496 DC, 10 juin 2004, </w:t>
      </w:r>
      <w:r w:rsidR="00F63F00" w:rsidRPr="000A458D">
        <w:rPr>
          <w:rFonts w:ascii="Garamond" w:hAnsi="Garamond"/>
          <w:i/>
          <w:iCs/>
          <w:sz w:val="18"/>
          <w:szCs w:val="18"/>
        </w:rPr>
        <w:t>Loi pour la confiance dans l’économie numérique</w:t>
      </w:r>
      <w:r w:rsidR="00F63F00" w:rsidRPr="000A458D">
        <w:rPr>
          <w:rFonts w:ascii="Garamond" w:hAnsi="Garamond"/>
          <w:sz w:val="18"/>
          <w:szCs w:val="18"/>
        </w:rPr>
        <w:t xml:space="preserve">, </w:t>
      </w:r>
      <w:r w:rsidR="00F63F00" w:rsidRPr="000A458D">
        <w:rPr>
          <w:rFonts w:ascii="Garamond" w:hAnsi="Garamond"/>
          <w:i/>
          <w:iCs/>
          <w:sz w:val="18"/>
          <w:szCs w:val="18"/>
        </w:rPr>
        <w:t>Rec.</w:t>
      </w:r>
      <w:r w:rsidR="00F63F00" w:rsidRPr="000A458D">
        <w:rPr>
          <w:rFonts w:ascii="Garamond" w:hAnsi="Garamond"/>
          <w:sz w:val="18"/>
          <w:szCs w:val="18"/>
        </w:rPr>
        <w:t>, p. 101.</w:t>
      </w:r>
    </w:p>
  </w:footnote>
  <w:footnote w:id="10">
    <w:p w14:paraId="2E4F49B4" w14:textId="77777777" w:rsidR="00915CE1" w:rsidRPr="000A458D" w:rsidRDefault="00915CE1"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Pr="000A458D">
        <w:rPr>
          <w:rFonts w:ascii="Garamond" w:hAnsi="Garamond"/>
          <w:sz w:val="18"/>
          <w:szCs w:val="18"/>
        </w:rPr>
        <w:tab/>
        <w:t>En vertu du nouveau b) de l’article 125 de la Constitution : « La Cour constitutionnelle de la Fédération de Russie : (…) b) conformément à la loi constitutionnelle fédérale, se prononce sur l’exécution des décisions des organes interétatiques adoptées sur la base des dispositions des traités internationaux conclus par la Fédération de Russie, si leur interprétation contredit la Constitution de la Fédération de Russie, ainsi que sur l’exécution d’une décision d'un tribunal étranger ou international, d'un tribunal d'arbitrage étranger ou international imposant des obligations à la Fédération de Russie, si cette décision contredit les principes fondamentaux de l'ordre public de la Fédération de Russie ».</w:t>
      </w:r>
    </w:p>
  </w:footnote>
  <w:footnote w:id="11">
    <w:p w14:paraId="0A678645" w14:textId="4A82AA28" w:rsidR="000F20A2" w:rsidRPr="000A458D" w:rsidRDefault="000F20A2"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003649E0" w:rsidRPr="000A458D">
        <w:rPr>
          <w:rFonts w:ascii="Garamond" w:hAnsi="Garamond"/>
          <w:sz w:val="18"/>
          <w:szCs w:val="18"/>
        </w:rPr>
        <w:tab/>
        <w:t xml:space="preserve">Pour une lecture en ce sens de la décision du Conseil constitutionnel </w:t>
      </w:r>
      <w:r w:rsidR="003649E0" w:rsidRPr="000A458D">
        <w:rPr>
          <w:rFonts w:ascii="Garamond" w:hAnsi="Garamond"/>
          <w:i/>
          <w:iCs/>
          <w:sz w:val="18"/>
          <w:szCs w:val="18"/>
        </w:rPr>
        <w:t xml:space="preserve">Geoffrey </w:t>
      </w:r>
      <w:r w:rsidR="003649E0" w:rsidRPr="000A458D">
        <w:rPr>
          <w:rFonts w:ascii="Garamond" w:hAnsi="Garamond"/>
          <w:sz w:val="18"/>
          <w:szCs w:val="18"/>
        </w:rPr>
        <w:t xml:space="preserve">(n° 2020-858/859 QPC du 2 octobre 2020, </w:t>
      </w:r>
      <w:r w:rsidR="003649E0" w:rsidRPr="000A458D">
        <w:rPr>
          <w:rFonts w:ascii="Garamond" w:hAnsi="Garamond"/>
          <w:i/>
          <w:iCs/>
          <w:sz w:val="18"/>
          <w:szCs w:val="18"/>
        </w:rPr>
        <w:t>M. Geoffrey F. et autre [Conditions d'incarcération des détenus]</w:t>
      </w:r>
      <w:r w:rsidR="003649E0" w:rsidRPr="000A458D">
        <w:rPr>
          <w:rFonts w:ascii="Garamond" w:hAnsi="Garamond"/>
          <w:sz w:val="18"/>
          <w:szCs w:val="18"/>
        </w:rPr>
        <w:t xml:space="preserve">) : « Le Conseil constitutionnel, infidèle aux traditions républicaines, n’entend plus se conformer aux règles du droit public international ». Libres propos à l’occasion de la décision du 2 octobre 2020, </w:t>
      </w:r>
      <w:r w:rsidR="003649E0" w:rsidRPr="000A458D">
        <w:rPr>
          <w:rFonts w:ascii="Garamond" w:hAnsi="Garamond"/>
          <w:i/>
          <w:iCs/>
          <w:sz w:val="18"/>
          <w:szCs w:val="18"/>
        </w:rPr>
        <w:t>M. Geoffrey F. et autre [Conditions d'incarcération des détenus]</w:t>
      </w:r>
      <w:r w:rsidR="003649E0" w:rsidRPr="000A458D">
        <w:rPr>
          <w:rFonts w:ascii="Garamond" w:hAnsi="Garamond"/>
          <w:sz w:val="18"/>
          <w:szCs w:val="18"/>
        </w:rPr>
        <w:t xml:space="preserve"> », </w:t>
      </w:r>
      <w:r w:rsidR="003649E0" w:rsidRPr="000A458D">
        <w:rPr>
          <w:rFonts w:ascii="Garamond" w:hAnsi="Garamond"/>
          <w:i/>
          <w:iCs/>
          <w:sz w:val="18"/>
          <w:szCs w:val="18"/>
        </w:rPr>
        <w:t>RFDC</w:t>
      </w:r>
      <w:r w:rsidR="003649E0" w:rsidRPr="000A458D">
        <w:rPr>
          <w:rFonts w:ascii="Garamond" w:hAnsi="Garamond"/>
          <w:sz w:val="18"/>
          <w:szCs w:val="18"/>
        </w:rPr>
        <w:t>, n° 127, 2021, pp. 175-191.</w:t>
      </w:r>
    </w:p>
  </w:footnote>
  <w:footnote w:id="12">
    <w:p w14:paraId="39108183" w14:textId="54E3DC0A" w:rsidR="00EA4F3B" w:rsidRPr="000A458D" w:rsidRDefault="00EA4F3B" w:rsidP="000A458D">
      <w:pPr>
        <w:pStyle w:val="Notedebasdepage"/>
        <w:spacing w:before="120"/>
        <w:ind w:left="567" w:hanging="567"/>
        <w:jc w:val="both"/>
        <w:rPr>
          <w:rFonts w:ascii="Garamond" w:hAnsi="Garamond"/>
          <w:color w:val="000000"/>
          <w:sz w:val="18"/>
          <w:szCs w:val="18"/>
        </w:rPr>
      </w:pPr>
      <w:r w:rsidRPr="000A458D">
        <w:rPr>
          <w:rStyle w:val="Appelnotedebasdep"/>
          <w:rFonts w:ascii="Garamond" w:hAnsi="Garamond"/>
          <w:color w:val="000000"/>
          <w:sz w:val="18"/>
          <w:szCs w:val="18"/>
        </w:rPr>
        <w:footnoteRef/>
      </w:r>
      <w:r w:rsidRPr="000A458D">
        <w:rPr>
          <w:rFonts w:ascii="Garamond" w:hAnsi="Garamond"/>
          <w:color w:val="000000"/>
          <w:sz w:val="18"/>
          <w:szCs w:val="18"/>
        </w:rPr>
        <w:t xml:space="preserve"> </w:t>
      </w:r>
      <w:r w:rsidR="000A458D">
        <w:rPr>
          <w:rFonts w:ascii="Garamond" w:hAnsi="Garamond"/>
          <w:color w:val="000000"/>
          <w:sz w:val="18"/>
          <w:szCs w:val="18"/>
        </w:rPr>
        <w:tab/>
      </w:r>
      <w:r w:rsidRPr="000A458D">
        <w:rPr>
          <w:rFonts w:ascii="Garamond" w:hAnsi="Garamond"/>
          <w:color w:val="000000"/>
          <w:sz w:val="18"/>
          <w:szCs w:val="18"/>
        </w:rPr>
        <w:t xml:space="preserve">Conférence de haut niveau sur l’avenir de la Cour européenne des droits de l’homme, </w:t>
      </w:r>
      <w:r w:rsidRPr="000A458D">
        <w:rPr>
          <w:rFonts w:ascii="Garamond" w:hAnsi="Garamond"/>
          <w:i/>
          <w:iCs/>
          <w:color w:val="000000"/>
          <w:sz w:val="18"/>
          <w:szCs w:val="18"/>
        </w:rPr>
        <w:t>Déclaration d’Interlaken</w:t>
      </w:r>
      <w:r w:rsidRPr="000A458D">
        <w:rPr>
          <w:rFonts w:ascii="Garamond" w:hAnsi="Garamond"/>
          <w:color w:val="000000"/>
          <w:sz w:val="18"/>
          <w:szCs w:val="18"/>
        </w:rPr>
        <w:t>, 19 février 2010, § 3.</w:t>
      </w:r>
    </w:p>
  </w:footnote>
  <w:footnote w:id="13">
    <w:p w14:paraId="56037E0D" w14:textId="447D5103" w:rsidR="00C5560E" w:rsidRPr="000A458D" w:rsidRDefault="00C5560E"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000A458D">
        <w:rPr>
          <w:rFonts w:ascii="Garamond" w:hAnsi="Garamond"/>
          <w:sz w:val="18"/>
          <w:szCs w:val="18"/>
        </w:rPr>
        <w:tab/>
      </w:r>
      <w:r w:rsidRPr="000A458D">
        <w:rPr>
          <w:rFonts w:ascii="Garamond" w:hAnsi="Garamond"/>
          <w:sz w:val="18"/>
          <w:szCs w:val="18"/>
        </w:rPr>
        <w:t>S’il est vrai que depuis le protocole n° 14 à la Convention permet de faire intervenir la Cour dans le processus d’exécution de ses arrêts, elle ne saurait être saisie que par le Comité des ministres.</w:t>
      </w:r>
    </w:p>
  </w:footnote>
  <w:footnote w:id="14">
    <w:p w14:paraId="7AC63105" w14:textId="7CD1F1BE" w:rsidR="00591C8A" w:rsidRPr="000A458D" w:rsidRDefault="00591C8A"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Pr="000A458D">
        <w:rPr>
          <w:rFonts w:ascii="Garamond" w:hAnsi="Garamond"/>
          <w:sz w:val="18"/>
          <w:szCs w:val="18"/>
        </w:rPr>
        <w:tab/>
        <w:t xml:space="preserve">Ce que nous appellerons </w:t>
      </w:r>
      <w:r w:rsidRPr="000A458D">
        <w:rPr>
          <w:rFonts w:ascii="Garamond" w:hAnsi="Garamond"/>
          <w:i/>
          <w:iCs/>
          <w:sz w:val="18"/>
          <w:szCs w:val="18"/>
        </w:rPr>
        <w:t>infra </w:t>
      </w:r>
      <w:r w:rsidRPr="000A458D">
        <w:rPr>
          <w:rFonts w:ascii="Garamond" w:hAnsi="Garamond"/>
          <w:sz w:val="18"/>
          <w:szCs w:val="18"/>
        </w:rPr>
        <w:t>: concrétisation jurisprudentielle</w:t>
      </w:r>
      <w:r w:rsidR="00723B66" w:rsidRPr="000A458D">
        <w:rPr>
          <w:rFonts w:ascii="Garamond" w:hAnsi="Garamond"/>
          <w:sz w:val="18"/>
          <w:szCs w:val="18"/>
        </w:rPr>
        <w:t xml:space="preserve"> d’énoncés normatifs textuels.</w:t>
      </w:r>
    </w:p>
  </w:footnote>
  <w:footnote w:id="15">
    <w:p w14:paraId="004734CA" w14:textId="522445ED" w:rsidR="00C31B4B" w:rsidRPr="000A458D" w:rsidRDefault="00C31B4B" w:rsidP="000A458D">
      <w:pPr>
        <w:pStyle w:val="Notedebasdepage"/>
        <w:spacing w:before="120"/>
        <w:ind w:left="567" w:hanging="567"/>
        <w:jc w:val="both"/>
        <w:rPr>
          <w:rFonts w:ascii="Garamond" w:hAnsi="Garamond"/>
          <w:sz w:val="18"/>
          <w:szCs w:val="18"/>
        </w:rPr>
      </w:pPr>
      <w:r w:rsidRPr="000A458D">
        <w:rPr>
          <w:rStyle w:val="Appelnotedebasdep"/>
          <w:rFonts w:ascii="Garamond" w:hAnsi="Garamond"/>
          <w:sz w:val="18"/>
          <w:szCs w:val="18"/>
        </w:rPr>
        <w:footnoteRef/>
      </w:r>
      <w:r w:rsidRPr="000A458D">
        <w:rPr>
          <w:rFonts w:ascii="Garamond" w:hAnsi="Garamond"/>
          <w:sz w:val="18"/>
          <w:szCs w:val="18"/>
        </w:rPr>
        <w:t xml:space="preserve"> </w:t>
      </w:r>
      <w:r w:rsidRPr="000A458D">
        <w:rPr>
          <w:rFonts w:ascii="Garamond" w:hAnsi="Garamond"/>
          <w:sz w:val="18"/>
          <w:szCs w:val="18"/>
        </w:rPr>
        <w:tab/>
      </w:r>
      <w:r w:rsidR="00AD3D60" w:rsidRPr="000A458D">
        <w:rPr>
          <w:rFonts w:ascii="Garamond" w:hAnsi="Garamond"/>
          <w:sz w:val="18"/>
          <w:szCs w:val="18"/>
        </w:rPr>
        <w:t xml:space="preserve">Parmi une jurisprudence abondante et constante, voir notamment : </w:t>
      </w:r>
      <w:r w:rsidRPr="000A458D">
        <w:rPr>
          <w:rFonts w:ascii="Garamond" w:hAnsi="Garamond"/>
          <w:sz w:val="18"/>
          <w:szCs w:val="18"/>
        </w:rPr>
        <w:t xml:space="preserve">CEDH, </w:t>
      </w:r>
      <w:r w:rsidR="00C82582" w:rsidRPr="000A458D">
        <w:rPr>
          <w:rFonts w:ascii="Garamond" w:hAnsi="Garamond"/>
          <w:sz w:val="18"/>
          <w:szCs w:val="18"/>
        </w:rPr>
        <w:t xml:space="preserve">23 avril 2015, </w:t>
      </w:r>
      <w:r w:rsidR="00C82582" w:rsidRPr="000A458D">
        <w:rPr>
          <w:rFonts w:ascii="Garamond" w:hAnsi="Garamond"/>
          <w:i/>
          <w:iCs/>
          <w:sz w:val="18"/>
          <w:szCs w:val="18"/>
        </w:rPr>
        <w:t>Morice c. France</w:t>
      </w:r>
      <w:r w:rsidR="00C82582" w:rsidRPr="000A458D">
        <w:rPr>
          <w:rFonts w:ascii="Garamond" w:hAnsi="Garamond"/>
          <w:sz w:val="18"/>
          <w:szCs w:val="18"/>
        </w:rPr>
        <w:t xml:space="preserve">, </w:t>
      </w:r>
      <w:proofErr w:type="spellStart"/>
      <w:r w:rsidR="00C82582" w:rsidRPr="000A458D">
        <w:rPr>
          <w:rFonts w:ascii="Garamond" w:hAnsi="Garamond"/>
          <w:sz w:val="18"/>
          <w:szCs w:val="18"/>
        </w:rPr>
        <w:t>req</w:t>
      </w:r>
      <w:proofErr w:type="spellEnd"/>
      <w:r w:rsidR="00C82582" w:rsidRPr="000A458D">
        <w:rPr>
          <w:rFonts w:ascii="Garamond" w:hAnsi="Garamond"/>
          <w:sz w:val="18"/>
          <w:szCs w:val="18"/>
        </w:rPr>
        <w:t xml:space="preserve">. </w:t>
      </w:r>
      <w:proofErr w:type="gramStart"/>
      <w:r w:rsidR="00C82582" w:rsidRPr="000A458D">
        <w:rPr>
          <w:rFonts w:ascii="Garamond" w:hAnsi="Garamond"/>
          <w:sz w:val="18"/>
          <w:szCs w:val="18"/>
        </w:rPr>
        <w:t>n</w:t>
      </w:r>
      <w:proofErr w:type="gramEnd"/>
      <w:r w:rsidR="00C82582" w:rsidRPr="000A458D">
        <w:rPr>
          <w:rFonts w:ascii="Garamond" w:hAnsi="Garamond"/>
          <w:sz w:val="18"/>
          <w:szCs w:val="18"/>
        </w:rPr>
        <w:t>° 29369/10, §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92888156"/>
      <w:docPartObj>
        <w:docPartGallery w:val="Page Numbers (Top of Page)"/>
        <w:docPartUnique/>
      </w:docPartObj>
    </w:sdtPr>
    <w:sdtContent>
      <w:p w14:paraId="06DB2286" w14:textId="596EE5C0" w:rsidR="00DA6DF5" w:rsidRDefault="00DA6DF5" w:rsidP="0029418D">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30DE370" w14:textId="77777777" w:rsidR="00DA6DF5" w:rsidRDefault="00DA6DF5" w:rsidP="00DA6DF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62273744"/>
      <w:docPartObj>
        <w:docPartGallery w:val="Page Numbers (Top of Page)"/>
        <w:docPartUnique/>
      </w:docPartObj>
    </w:sdtPr>
    <w:sdtContent>
      <w:p w14:paraId="2619D949" w14:textId="309F7920" w:rsidR="00DA6DF5" w:rsidRDefault="00DA6DF5" w:rsidP="0029418D">
        <w:pPr>
          <w:pStyle w:val="En-tte"/>
          <w:framePr w:wrap="none" w:vAnchor="text" w:hAnchor="margin" w:xAlign="right" w:y="1"/>
          <w:rPr>
            <w:rStyle w:val="Numrodepage"/>
          </w:rPr>
        </w:pPr>
        <w:r w:rsidRPr="00DA6DF5">
          <w:rPr>
            <w:rStyle w:val="Numrodepage"/>
            <w:rFonts w:ascii="Garamond" w:hAnsi="Garamond"/>
          </w:rPr>
          <w:fldChar w:fldCharType="begin"/>
        </w:r>
        <w:r w:rsidRPr="00DA6DF5">
          <w:rPr>
            <w:rStyle w:val="Numrodepage"/>
            <w:rFonts w:ascii="Garamond" w:hAnsi="Garamond"/>
          </w:rPr>
          <w:instrText xml:space="preserve"> PAGE </w:instrText>
        </w:r>
        <w:r w:rsidRPr="00DA6DF5">
          <w:rPr>
            <w:rStyle w:val="Numrodepage"/>
            <w:rFonts w:ascii="Garamond" w:hAnsi="Garamond"/>
          </w:rPr>
          <w:fldChar w:fldCharType="separate"/>
        </w:r>
        <w:r w:rsidRPr="00DA6DF5">
          <w:rPr>
            <w:rStyle w:val="Numrodepage"/>
            <w:rFonts w:ascii="Garamond" w:hAnsi="Garamond"/>
            <w:noProof/>
          </w:rPr>
          <w:t>2</w:t>
        </w:r>
        <w:r w:rsidRPr="00DA6DF5">
          <w:rPr>
            <w:rStyle w:val="Numrodepage"/>
            <w:rFonts w:ascii="Garamond" w:hAnsi="Garamond"/>
          </w:rPr>
          <w:fldChar w:fldCharType="end"/>
        </w:r>
      </w:p>
    </w:sdtContent>
  </w:sdt>
  <w:p w14:paraId="2BD85AA3" w14:textId="77777777" w:rsidR="00DA6DF5" w:rsidRDefault="00DA6DF5" w:rsidP="00DA6DF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176EB"/>
    <w:multiLevelType w:val="hybridMultilevel"/>
    <w:tmpl w:val="E186896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0917D7"/>
    <w:multiLevelType w:val="hybridMultilevel"/>
    <w:tmpl w:val="D8A4C6C8"/>
    <w:lvl w:ilvl="0" w:tplc="0136E5D0">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DA5E72"/>
    <w:multiLevelType w:val="hybridMultilevel"/>
    <w:tmpl w:val="5E0EA874"/>
    <w:lvl w:ilvl="0" w:tplc="38CA259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2991844">
    <w:abstractNumId w:val="1"/>
  </w:num>
  <w:num w:numId="2" w16cid:durableId="55705806">
    <w:abstractNumId w:val="2"/>
  </w:num>
  <w:num w:numId="3" w16cid:durableId="2641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36"/>
    <w:rsid w:val="00006E1E"/>
    <w:rsid w:val="00013290"/>
    <w:rsid w:val="00025489"/>
    <w:rsid w:val="000403CC"/>
    <w:rsid w:val="000476AE"/>
    <w:rsid w:val="0005480C"/>
    <w:rsid w:val="000578BC"/>
    <w:rsid w:val="00085044"/>
    <w:rsid w:val="00092CAD"/>
    <w:rsid w:val="000A458D"/>
    <w:rsid w:val="000B09F8"/>
    <w:rsid w:val="000F20A2"/>
    <w:rsid w:val="000F53A4"/>
    <w:rsid w:val="001550FD"/>
    <w:rsid w:val="00162B89"/>
    <w:rsid w:val="00177352"/>
    <w:rsid w:val="00177732"/>
    <w:rsid w:val="001A5A80"/>
    <w:rsid w:val="001B729F"/>
    <w:rsid w:val="001C206B"/>
    <w:rsid w:val="001D200E"/>
    <w:rsid w:val="001D3AEA"/>
    <w:rsid w:val="001D4BBA"/>
    <w:rsid w:val="002354E6"/>
    <w:rsid w:val="0023787E"/>
    <w:rsid w:val="00255375"/>
    <w:rsid w:val="0027498F"/>
    <w:rsid w:val="00287107"/>
    <w:rsid w:val="002D486F"/>
    <w:rsid w:val="002E17A6"/>
    <w:rsid w:val="00312A5E"/>
    <w:rsid w:val="00314A36"/>
    <w:rsid w:val="00350E66"/>
    <w:rsid w:val="00354BCA"/>
    <w:rsid w:val="00364696"/>
    <w:rsid w:val="003649E0"/>
    <w:rsid w:val="00366698"/>
    <w:rsid w:val="00377590"/>
    <w:rsid w:val="00387817"/>
    <w:rsid w:val="003B01AD"/>
    <w:rsid w:val="003D4990"/>
    <w:rsid w:val="003D7554"/>
    <w:rsid w:val="003F03F9"/>
    <w:rsid w:val="003F7281"/>
    <w:rsid w:val="00413DFF"/>
    <w:rsid w:val="00421CAB"/>
    <w:rsid w:val="00465145"/>
    <w:rsid w:val="00470EE5"/>
    <w:rsid w:val="00481557"/>
    <w:rsid w:val="00497C48"/>
    <w:rsid w:val="004A2D5A"/>
    <w:rsid w:val="004C7526"/>
    <w:rsid w:val="004D7A5F"/>
    <w:rsid w:val="004F4F20"/>
    <w:rsid w:val="00506106"/>
    <w:rsid w:val="00507242"/>
    <w:rsid w:val="00515EA3"/>
    <w:rsid w:val="005345FD"/>
    <w:rsid w:val="005504A1"/>
    <w:rsid w:val="00552E73"/>
    <w:rsid w:val="005611CF"/>
    <w:rsid w:val="005763F1"/>
    <w:rsid w:val="00591C8A"/>
    <w:rsid w:val="00592112"/>
    <w:rsid w:val="005B4043"/>
    <w:rsid w:val="005D1A32"/>
    <w:rsid w:val="005F0F47"/>
    <w:rsid w:val="00604524"/>
    <w:rsid w:val="00654CA2"/>
    <w:rsid w:val="006760FE"/>
    <w:rsid w:val="00691B8A"/>
    <w:rsid w:val="00696E54"/>
    <w:rsid w:val="00697FFB"/>
    <w:rsid w:val="006A6700"/>
    <w:rsid w:val="006B4DCE"/>
    <w:rsid w:val="006B51AE"/>
    <w:rsid w:val="006C7D6D"/>
    <w:rsid w:val="006E14AA"/>
    <w:rsid w:val="006F792C"/>
    <w:rsid w:val="00707F3F"/>
    <w:rsid w:val="00715C37"/>
    <w:rsid w:val="00717513"/>
    <w:rsid w:val="00723B66"/>
    <w:rsid w:val="00741EED"/>
    <w:rsid w:val="0077559A"/>
    <w:rsid w:val="00776412"/>
    <w:rsid w:val="0079042E"/>
    <w:rsid w:val="00791BC4"/>
    <w:rsid w:val="007A525C"/>
    <w:rsid w:val="007A608C"/>
    <w:rsid w:val="007D2FB5"/>
    <w:rsid w:val="007E3D2C"/>
    <w:rsid w:val="007E73CD"/>
    <w:rsid w:val="007F3121"/>
    <w:rsid w:val="00822A1E"/>
    <w:rsid w:val="0083105C"/>
    <w:rsid w:val="00831812"/>
    <w:rsid w:val="00837244"/>
    <w:rsid w:val="00855CAF"/>
    <w:rsid w:val="008910FA"/>
    <w:rsid w:val="008B257D"/>
    <w:rsid w:val="008B655A"/>
    <w:rsid w:val="008D0083"/>
    <w:rsid w:val="008D6CD6"/>
    <w:rsid w:val="008E030A"/>
    <w:rsid w:val="009036DB"/>
    <w:rsid w:val="00915BA7"/>
    <w:rsid w:val="00915CE1"/>
    <w:rsid w:val="00933668"/>
    <w:rsid w:val="00933C9B"/>
    <w:rsid w:val="009923DD"/>
    <w:rsid w:val="009937C7"/>
    <w:rsid w:val="009A73A8"/>
    <w:rsid w:val="009C0A08"/>
    <w:rsid w:val="009D4C5F"/>
    <w:rsid w:val="009E555F"/>
    <w:rsid w:val="00A23606"/>
    <w:rsid w:val="00A50036"/>
    <w:rsid w:val="00A54699"/>
    <w:rsid w:val="00A81582"/>
    <w:rsid w:val="00A83668"/>
    <w:rsid w:val="00AD3D60"/>
    <w:rsid w:val="00AE54FA"/>
    <w:rsid w:val="00AF235F"/>
    <w:rsid w:val="00AF2F34"/>
    <w:rsid w:val="00B168CD"/>
    <w:rsid w:val="00B23EA0"/>
    <w:rsid w:val="00B26536"/>
    <w:rsid w:val="00B4277B"/>
    <w:rsid w:val="00B57193"/>
    <w:rsid w:val="00B64698"/>
    <w:rsid w:val="00B75771"/>
    <w:rsid w:val="00B839F4"/>
    <w:rsid w:val="00BC4D6B"/>
    <w:rsid w:val="00BD2268"/>
    <w:rsid w:val="00C025CD"/>
    <w:rsid w:val="00C04A97"/>
    <w:rsid w:val="00C170C8"/>
    <w:rsid w:val="00C31B4B"/>
    <w:rsid w:val="00C33C42"/>
    <w:rsid w:val="00C35950"/>
    <w:rsid w:val="00C5560E"/>
    <w:rsid w:val="00C6304B"/>
    <w:rsid w:val="00C64934"/>
    <w:rsid w:val="00C64FA8"/>
    <w:rsid w:val="00C77DAE"/>
    <w:rsid w:val="00C82582"/>
    <w:rsid w:val="00C876A2"/>
    <w:rsid w:val="00C91B8C"/>
    <w:rsid w:val="00CA34A1"/>
    <w:rsid w:val="00CA4037"/>
    <w:rsid w:val="00CB3DD4"/>
    <w:rsid w:val="00CB4E51"/>
    <w:rsid w:val="00CD4EC4"/>
    <w:rsid w:val="00CF6EB8"/>
    <w:rsid w:val="00D13A6F"/>
    <w:rsid w:val="00D15E56"/>
    <w:rsid w:val="00D16F40"/>
    <w:rsid w:val="00D20A35"/>
    <w:rsid w:val="00D24308"/>
    <w:rsid w:val="00D3258F"/>
    <w:rsid w:val="00D3763F"/>
    <w:rsid w:val="00D433C3"/>
    <w:rsid w:val="00D44E47"/>
    <w:rsid w:val="00D828AD"/>
    <w:rsid w:val="00DA6536"/>
    <w:rsid w:val="00DA6DF5"/>
    <w:rsid w:val="00DC1C08"/>
    <w:rsid w:val="00DE3D5D"/>
    <w:rsid w:val="00DE6A24"/>
    <w:rsid w:val="00DF5F14"/>
    <w:rsid w:val="00E1107B"/>
    <w:rsid w:val="00E27CA0"/>
    <w:rsid w:val="00E472EE"/>
    <w:rsid w:val="00E744A6"/>
    <w:rsid w:val="00E91B1F"/>
    <w:rsid w:val="00EA4F3B"/>
    <w:rsid w:val="00EB1BC9"/>
    <w:rsid w:val="00EB4296"/>
    <w:rsid w:val="00EC6366"/>
    <w:rsid w:val="00ED0036"/>
    <w:rsid w:val="00EF0BD9"/>
    <w:rsid w:val="00EF2FD8"/>
    <w:rsid w:val="00F30932"/>
    <w:rsid w:val="00F51F7B"/>
    <w:rsid w:val="00F612FF"/>
    <w:rsid w:val="00F62D74"/>
    <w:rsid w:val="00F63F00"/>
    <w:rsid w:val="00F64924"/>
    <w:rsid w:val="00F7287C"/>
    <w:rsid w:val="00F802A8"/>
    <w:rsid w:val="00F80EEF"/>
    <w:rsid w:val="00FC22F1"/>
    <w:rsid w:val="00FC6B1E"/>
    <w:rsid w:val="00FC75C5"/>
    <w:rsid w:val="00FD7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797927"/>
  <w15:chartTrackingRefBased/>
  <w15:docId w15:val="{83C450B6-0E2E-5748-97EE-71D37D2D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8910FA"/>
    <w:rPr>
      <w:sz w:val="20"/>
      <w:szCs w:val="20"/>
    </w:rPr>
  </w:style>
  <w:style w:type="character" w:customStyle="1" w:styleId="NotedebasdepageCar">
    <w:name w:val="Note de bas de page Car"/>
    <w:basedOn w:val="Policepardfaut"/>
    <w:link w:val="Notedebasdepage"/>
    <w:uiPriority w:val="99"/>
    <w:rsid w:val="008910FA"/>
    <w:rPr>
      <w:sz w:val="20"/>
      <w:szCs w:val="20"/>
    </w:rPr>
  </w:style>
  <w:style w:type="character" w:styleId="Appelnotedebasdep">
    <w:name w:val="footnote reference"/>
    <w:aliases w:val="Appel note de bas de page"/>
    <w:basedOn w:val="Policepardfaut"/>
    <w:uiPriority w:val="99"/>
    <w:unhideWhenUsed/>
    <w:rsid w:val="008910FA"/>
    <w:rPr>
      <w:vertAlign w:val="superscript"/>
    </w:rPr>
  </w:style>
  <w:style w:type="paragraph" w:styleId="Paragraphedeliste">
    <w:name w:val="List Paragraph"/>
    <w:basedOn w:val="Normal"/>
    <w:uiPriority w:val="34"/>
    <w:qFormat/>
    <w:rsid w:val="00D3763F"/>
    <w:pPr>
      <w:ind w:left="720"/>
      <w:contextualSpacing/>
    </w:pPr>
  </w:style>
  <w:style w:type="paragraph" w:styleId="En-tte">
    <w:name w:val="header"/>
    <w:basedOn w:val="Normal"/>
    <w:link w:val="En-tteCar"/>
    <w:uiPriority w:val="99"/>
    <w:unhideWhenUsed/>
    <w:rsid w:val="00DA6DF5"/>
    <w:pPr>
      <w:tabs>
        <w:tab w:val="center" w:pos="4536"/>
        <w:tab w:val="right" w:pos="9072"/>
      </w:tabs>
    </w:pPr>
  </w:style>
  <w:style w:type="character" w:customStyle="1" w:styleId="En-tteCar">
    <w:name w:val="En-tête Car"/>
    <w:basedOn w:val="Policepardfaut"/>
    <w:link w:val="En-tte"/>
    <w:uiPriority w:val="99"/>
    <w:rsid w:val="00DA6DF5"/>
  </w:style>
  <w:style w:type="character" w:styleId="Numrodepage">
    <w:name w:val="page number"/>
    <w:basedOn w:val="Policepardfaut"/>
    <w:uiPriority w:val="99"/>
    <w:semiHidden/>
    <w:unhideWhenUsed/>
    <w:rsid w:val="00DA6DF5"/>
  </w:style>
  <w:style w:type="paragraph" w:styleId="Pieddepage">
    <w:name w:val="footer"/>
    <w:basedOn w:val="Normal"/>
    <w:link w:val="PieddepageCar"/>
    <w:uiPriority w:val="99"/>
    <w:unhideWhenUsed/>
    <w:rsid w:val="00DA6DF5"/>
    <w:pPr>
      <w:tabs>
        <w:tab w:val="center" w:pos="4536"/>
        <w:tab w:val="right" w:pos="9072"/>
      </w:tabs>
    </w:pPr>
  </w:style>
  <w:style w:type="character" w:customStyle="1" w:styleId="PieddepageCar">
    <w:name w:val="Pied de page Car"/>
    <w:basedOn w:val="Policepardfaut"/>
    <w:link w:val="Pieddepage"/>
    <w:uiPriority w:val="99"/>
    <w:rsid w:val="00DA6DF5"/>
  </w:style>
  <w:style w:type="paragraph" w:customStyle="1" w:styleId="NBPthese">
    <w:name w:val="NBP these"/>
    <w:basedOn w:val="Normal"/>
    <w:rsid w:val="00D44E47"/>
    <w:pPr>
      <w:suppressAutoHyphens/>
      <w:autoSpaceDN w:val="0"/>
      <w:spacing w:after="60"/>
      <w:ind w:left="357" w:hanging="357"/>
      <w:jc w:val="both"/>
      <w:textAlignment w:val="baseline"/>
    </w:pPr>
    <w:rPr>
      <w:rFonts w:ascii="Garamond" w:eastAsia="Times New Roman" w:hAnsi="Garamond" w:cs="Garamond"/>
      <w:kern w:val="3"/>
      <w:sz w:val="20"/>
      <w:szCs w:val="20"/>
      <w:lang w:eastAsia="zh-CN"/>
    </w:rPr>
  </w:style>
  <w:style w:type="paragraph" w:styleId="NormalWeb">
    <w:name w:val="Normal (Web)"/>
    <w:basedOn w:val="Normal"/>
    <w:uiPriority w:val="99"/>
    <w:semiHidden/>
    <w:unhideWhenUsed/>
    <w:rsid w:val="000A45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2790">
      <w:bodyDiv w:val="1"/>
      <w:marLeft w:val="0"/>
      <w:marRight w:val="0"/>
      <w:marTop w:val="0"/>
      <w:marBottom w:val="0"/>
      <w:divBdr>
        <w:top w:val="none" w:sz="0" w:space="0" w:color="auto"/>
        <w:left w:val="none" w:sz="0" w:space="0" w:color="auto"/>
        <w:bottom w:val="none" w:sz="0" w:space="0" w:color="auto"/>
        <w:right w:val="none" w:sz="0" w:space="0" w:color="auto"/>
      </w:divBdr>
      <w:divsChild>
        <w:div w:id="42533776">
          <w:marLeft w:val="0"/>
          <w:marRight w:val="0"/>
          <w:marTop w:val="0"/>
          <w:marBottom w:val="0"/>
          <w:divBdr>
            <w:top w:val="none" w:sz="0" w:space="0" w:color="auto"/>
            <w:left w:val="none" w:sz="0" w:space="0" w:color="auto"/>
            <w:bottom w:val="none" w:sz="0" w:space="0" w:color="auto"/>
            <w:right w:val="none" w:sz="0" w:space="0" w:color="auto"/>
          </w:divBdr>
          <w:divsChild>
            <w:div w:id="2061663060">
              <w:marLeft w:val="0"/>
              <w:marRight w:val="0"/>
              <w:marTop w:val="0"/>
              <w:marBottom w:val="0"/>
              <w:divBdr>
                <w:top w:val="none" w:sz="0" w:space="0" w:color="auto"/>
                <w:left w:val="none" w:sz="0" w:space="0" w:color="auto"/>
                <w:bottom w:val="none" w:sz="0" w:space="0" w:color="auto"/>
                <w:right w:val="none" w:sz="0" w:space="0" w:color="auto"/>
              </w:divBdr>
              <w:divsChild>
                <w:div w:id="3603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F50C-4597-3C47-850D-4E0660B5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12</Pages>
  <Words>5636</Words>
  <Characters>31003</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MAGNON Xavier</dc:creator>
  <cp:keywords/>
  <dc:description/>
  <cp:lastModifiedBy>MAGNON Xavier</cp:lastModifiedBy>
  <cp:revision>38</cp:revision>
  <cp:lastPrinted>2022-09-28T11:16:00Z</cp:lastPrinted>
  <dcterms:created xsi:type="dcterms:W3CDTF">2021-04-23T07:04:00Z</dcterms:created>
  <dcterms:modified xsi:type="dcterms:W3CDTF">2022-11-10T08:29:00Z</dcterms:modified>
</cp:coreProperties>
</file>